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91A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62/06, 47/11 и 93/12)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32. и 99.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32/08),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21.12.2012.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60D2E0B5" w14:textId="77777777" w:rsidR="009158B7" w:rsidRPr="009158B7" w:rsidRDefault="009158B7" w:rsidP="009158B7">
      <w:pPr>
        <w:pStyle w:val="2zakon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Одлуку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локалним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комуналним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таксама</w:t>
      </w:r>
      <w:proofErr w:type="spellEnd"/>
    </w:p>
    <w:p w14:paraId="15035C98" w14:textId="77777777" w:rsidR="009158B7" w:rsidRPr="009158B7" w:rsidRDefault="009158B7" w:rsidP="009158B7">
      <w:pPr>
        <w:pStyle w:val="3mesto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Одлука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објављена</w:t>
      </w:r>
      <w:proofErr w:type="spellEnd"/>
      <w:r w:rsidRPr="009158B7">
        <w:rPr>
          <w:rFonts w:ascii="Times New Roman" w:hAnsi="Times New Roman" w:cs="Times New Roman"/>
        </w:rPr>
        <w:t xml:space="preserve"> у "</w:t>
      </w:r>
      <w:proofErr w:type="spellStart"/>
      <w:r w:rsidRPr="009158B7">
        <w:rPr>
          <w:rFonts w:ascii="Times New Roman" w:hAnsi="Times New Roman" w:cs="Times New Roman"/>
        </w:rPr>
        <w:t>Службеном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листу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града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Шапца</w:t>
      </w:r>
      <w:proofErr w:type="spellEnd"/>
      <w:r w:rsidRPr="009158B7">
        <w:rPr>
          <w:rFonts w:ascii="Times New Roman" w:hAnsi="Times New Roman" w:cs="Times New Roman"/>
        </w:rPr>
        <w:t xml:space="preserve">", </w:t>
      </w:r>
      <w:proofErr w:type="spellStart"/>
      <w:r w:rsidRPr="009158B7">
        <w:rPr>
          <w:rFonts w:ascii="Times New Roman" w:hAnsi="Times New Roman" w:cs="Times New Roman"/>
        </w:rPr>
        <w:t>бр</w:t>
      </w:r>
      <w:proofErr w:type="spellEnd"/>
      <w:r w:rsidRPr="009158B7">
        <w:rPr>
          <w:rFonts w:ascii="Times New Roman" w:hAnsi="Times New Roman" w:cs="Times New Roman"/>
        </w:rPr>
        <w:t xml:space="preserve">. 31/2012 </w:t>
      </w:r>
      <w:proofErr w:type="spellStart"/>
      <w:r w:rsidRPr="009158B7">
        <w:rPr>
          <w:rFonts w:ascii="Times New Roman" w:hAnsi="Times New Roman" w:cs="Times New Roman"/>
        </w:rPr>
        <w:t>од</w:t>
      </w:r>
      <w:proofErr w:type="spellEnd"/>
      <w:r w:rsidRPr="009158B7">
        <w:rPr>
          <w:rFonts w:ascii="Times New Roman" w:hAnsi="Times New Roman" w:cs="Times New Roman"/>
        </w:rPr>
        <w:t xml:space="preserve"> 21.12.2012. </w:t>
      </w:r>
      <w:proofErr w:type="spellStart"/>
      <w:r w:rsidRPr="009158B7">
        <w:rPr>
          <w:rFonts w:ascii="Times New Roman" w:hAnsi="Times New Roman" w:cs="Times New Roman"/>
        </w:rPr>
        <w:t>године</w:t>
      </w:r>
      <w:proofErr w:type="spellEnd"/>
      <w:r w:rsidRPr="009158B7">
        <w:rPr>
          <w:rFonts w:ascii="Times New Roman" w:hAnsi="Times New Roman" w:cs="Times New Roman"/>
        </w:rPr>
        <w:t>.</w:t>
      </w:r>
    </w:p>
    <w:p w14:paraId="3D03E8B8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1.</w:t>
      </w:r>
    </w:p>
    <w:p w14:paraId="5A03A8D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уводе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97143AE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2.</w:t>
      </w:r>
    </w:p>
    <w:p w14:paraId="693E428D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148BFAFC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3.</w:t>
      </w:r>
    </w:p>
    <w:p w14:paraId="59284E44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настаје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A4F73C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51A44EE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4.</w:t>
      </w:r>
    </w:p>
    <w:p w14:paraId="6BD346F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територијалне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аутономије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23571A4C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5.</w:t>
      </w:r>
    </w:p>
    <w:p w14:paraId="5F98AD0D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уводе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7F33A49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публикација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старих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заната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радиности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;</w:t>
      </w:r>
    </w:p>
    <w:p w14:paraId="7B3DF8AA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");</w:t>
      </w:r>
    </w:p>
    <w:p w14:paraId="13797A7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;</w:t>
      </w:r>
    </w:p>
    <w:p w14:paraId="365AC4B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паноа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исписивање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коловози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тротоари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зелене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.);</w:t>
      </w:r>
    </w:p>
    <w:p w14:paraId="5339C33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друмских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прикључних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;</w:t>
      </w:r>
    </w:p>
    <w:p w14:paraId="6A034FA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слободних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кампове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;</w:t>
      </w:r>
    </w:p>
    <w:p w14:paraId="1C1298E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друмских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прикључних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;</w:t>
      </w:r>
    </w:p>
    <w:p w14:paraId="107F847F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6.</w:t>
      </w:r>
    </w:p>
    <w:p w14:paraId="070ABBAE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бројевима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олакшице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ослобођења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1CEB6E3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7.</w:t>
      </w:r>
    </w:p>
    <w:p w14:paraId="324AF08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лековима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повраћаја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принудне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казнених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администрација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FFAC24F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8.</w:t>
      </w:r>
    </w:p>
    <w:p w14:paraId="51FD4B4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13/09 и 27/11).</w:t>
      </w:r>
    </w:p>
    <w:p w14:paraId="7D3DE949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9.</w:t>
      </w:r>
    </w:p>
    <w:p w14:paraId="4B2B9772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".</w:t>
      </w:r>
    </w:p>
    <w:p w14:paraId="625DC90D" w14:textId="77777777" w:rsidR="009158B7" w:rsidRPr="009158B7" w:rsidRDefault="009158B7" w:rsidP="009158B7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b/>
          <w:bCs/>
          <w:sz w:val="24"/>
          <w:szCs w:val="24"/>
        </w:rPr>
        <w:t>СКУПШТИНА ГРАДА ШАПЦА</w:t>
      </w:r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6F35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 020-136/2012-14</w:t>
      </w:r>
    </w:p>
    <w:p w14:paraId="16E2B8A9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ПРЕДСЕДНИК СКУПШТИНЕ</w:t>
      </w:r>
    </w:p>
    <w:p w14:paraId="12D2F3A1" w14:textId="77777777" w:rsid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Слободан</w:t>
      </w:r>
      <w:proofErr w:type="spellEnd"/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Мирковић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1D91EDC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</w:p>
    <w:p w14:paraId="4181C0AD" w14:textId="77777777" w:rsidR="009158B7" w:rsidRPr="009158B7" w:rsidRDefault="009158B7" w:rsidP="009158B7">
      <w:pPr>
        <w:pStyle w:val="6naslov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ТАРИФА ЛОКАЛНИХ КОМУНАЛНИХ ТАКСА</w:t>
      </w:r>
    </w:p>
    <w:p w14:paraId="29C99620" w14:textId="77777777" w:rsidR="009158B7" w:rsidRPr="009158B7" w:rsidRDefault="009158B7" w:rsidP="009158B7">
      <w:pPr>
        <w:pStyle w:val="7podnas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359104F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публикација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1"/>
        <w:gridCol w:w="863"/>
      </w:tblGrid>
      <w:tr w:rsidR="009158B7" w:rsidRPr="009158B7" w14:paraId="5679626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778728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02CEE6D0" w14:textId="77777777" w:rsidR="009158B7" w:rsidRPr="009158B7" w:rsidRDefault="009158B7">
            <w:pPr>
              <w:pStyle w:val="NormalWeb"/>
              <w:jc w:val="right"/>
            </w:pPr>
            <w:proofErr w:type="spellStart"/>
            <w:r w:rsidRPr="009158B7">
              <w:t>динара</w:t>
            </w:r>
            <w:proofErr w:type="spellEnd"/>
          </w:p>
        </w:tc>
      </w:tr>
      <w:tr w:rsidR="009158B7" w:rsidRPr="009158B7" w14:paraId="6A18284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9C0BCA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испред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просторије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4212E64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11D87E9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BCEDFE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14:paraId="0A7050C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9158B7" w:rsidRPr="009158B7" w14:paraId="50F57671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97C866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14:paraId="793DBFD6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9158B7" w:rsidRPr="009158B7" w14:paraId="1A08426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3CDB712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35F52E9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58B7" w:rsidRPr="009158B7" w14:paraId="0927FA4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9E9099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0C21D65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58B7" w:rsidRPr="009158B7" w14:paraId="6D007E7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DB9649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2C55A75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158B7" w:rsidRPr="009158B7" w14:paraId="2A5AD3C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700128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68D40F46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2DB3E0B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97B9A5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сунцобрана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летњим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баштама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исписане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сунцобрану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15DBD62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158B7" w:rsidRPr="009158B7" w14:paraId="342D2C9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8C00BE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комаду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2A95140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504D80B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414D94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6EE1322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666AEA8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850E7F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тротоарима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62E0D57C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158B7" w:rsidRPr="009158B7" w14:paraId="5AE52B3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EB55B1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пијацама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7E749E2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158B7" w:rsidRPr="009158B7" w14:paraId="02F3FC6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4B7DB6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вашарима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3C6828D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158B7" w:rsidRPr="009158B7" w14:paraId="5D5E0EC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526C0A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местима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1AB99A3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158B7" w:rsidRPr="009158B7" w14:paraId="6A722A2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C69466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дужном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метру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6DBF998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8C83771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комерцијалне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новогодишњих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осмомартовских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празника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вашара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заузеће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уличну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одобрењу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 m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34"/>
        <w:gridCol w:w="990"/>
      </w:tblGrid>
      <w:tr w:rsidR="009158B7" w:rsidRPr="009158B7" w14:paraId="76A6863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403CE0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трајању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02E20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9158B7" w:rsidRPr="009158B7" w14:paraId="42E557BB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D775A4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трајању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CFF48C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158B7" w:rsidRPr="009158B7" w14:paraId="1F5395F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363759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заузеће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постављањем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A37886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158B7" w:rsidRPr="009158B7" w14:paraId="76EE4DF7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4AC935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9D91C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0215BAE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F31F24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манифестације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карактера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2900F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8.500,00</w:t>
            </w:r>
          </w:p>
        </w:tc>
      </w:tr>
      <w:tr w:rsidR="009158B7" w:rsidRPr="009158B7" w14:paraId="3BBC73E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6B0D15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Наплату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овог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85CD0A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6607E29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7B810D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- ЈКП "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Шабац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алинеја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и 3.,</w:t>
            </w:r>
          </w:p>
        </w:tc>
        <w:tc>
          <w:tcPr>
            <w:tcW w:w="0" w:type="auto"/>
            <w:vAlign w:val="center"/>
            <w:hideMark/>
          </w:tcPr>
          <w:p w14:paraId="7B6B7F8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2C4EC62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78D7E05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комунално-стамбене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случајевима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A286F9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514CA7D" w14:textId="77777777" w:rsidR="009158B7" w:rsidRPr="009158B7" w:rsidRDefault="009158B7" w:rsidP="009158B7">
      <w:pPr>
        <w:pStyle w:val="7podnas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69A91512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6"/>
        <w:gridCol w:w="1898"/>
      </w:tblGrid>
      <w:tr w:rsidR="009158B7" w:rsidRPr="009158B7" w14:paraId="5208C08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69A307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418E9C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</w:tr>
      <w:tr w:rsidR="009158B7" w:rsidRPr="009158B7" w14:paraId="14B9EAF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4CFBEC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томболу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D7E00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24.000,00</w:t>
            </w:r>
          </w:p>
        </w:tc>
      </w:tr>
      <w:tr w:rsidR="009158B7" w:rsidRPr="009158B7" w14:paraId="27E4F42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B780D0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билијар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99873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9158B7" w:rsidRPr="009158B7" w14:paraId="2539CB61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576D48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стони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фудбал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C43BE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9158B7" w:rsidRPr="009158B7" w14:paraId="25186E87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53C1B4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флипере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EE96B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9158B7" w:rsidRPr="009158B7" w14:paraId="504C690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555038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рингишпил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759E7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9158B7" w:rsidRPr="009158B7" w14:paraId="418B636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E664E25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покер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D0AD0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50.000,00 </w:t>
            </w:r>
          </w:p>
        </w:tc>
      </w:tr>
      <w:tr w:rsidR="009158B7" w:rsidRPr="009158B7" w14:paraId="0CB7546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B71292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459D7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9158B7" w:rsidRPr="009158B7" w14:paraId="44386AF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02C8E6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аутомате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срећу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6134E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</w:tr>
    </w:tbl>
    <w:p w14:paraId="436D9F1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F7C0E44" w14:textId="77777777" w:rsidR="009158B7" w:rsidRPr="009158B7" w:rsidRDefault="009158B7" w:rsidP="009158B7">
      <w:pPr>
        <w:pStyle w:val="7podnas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353C1E4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5E630A0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преко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50.000.000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104.752,00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1885504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157.128,00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D66103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157.128,00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F89901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261.880,00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B6A527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366.632,00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8EBA12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471.384,00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02937A1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EC0960E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D498A07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тромесечно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тромесечја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941118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аконтационо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тромесечје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претходи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104A1993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аконтационо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уплаћене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тромесечје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доспела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првостепеног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05C3D25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4699824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истакнути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21FE87EE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истакнутих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CB169B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истакнуту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истакнуту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D304F9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јединицу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огранак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заступништво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одговарајућем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169443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претежну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споредну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E6AEA63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50.000.000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6AED432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привремене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одјаве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C0F624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регистрације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стечаја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стечаја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53AD92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ослобођени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DAA457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дирекције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ослобођени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183820A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претежну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уметничке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занате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радиности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C497D83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верске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хуманитарне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непрофитна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A60D212" w14:textId="77777777" w:rsidR="009158B7" w:rsidRPr="009158B7" w:rsidRDefault="009158B7" w:rsidP="009158B7">
      <w:pPr>
        <w:pStyle w:val="7podnas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1F67E152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паноа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исписивање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коловози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тротоари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зелене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6F3BC607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50.000.000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0"/>
        <w:gridCol w:w="957"/>
        <w:gridCol w:w="1527"/>
      </w:tblGrid>
      <w:tr w:rsidR="009158B7" w:rsidRPr="009158B7" w14:paraId="41733B0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328E012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28F12D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B90EA2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9158B7" w:rsidRPr="009158B7" w14:paraId="3178D77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CACAE7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14:paraId="07AE2882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54C0E5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0DA0D4E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3EF255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7808B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57,39</w:t>
            </w:r>
          </w:p>
        </w:tc>
        <w:tc>
          <w:tcPr>
            <w:tcW w:w="0" w:type="auto"/>
            <w:vAlign w:val="center"/>
            <w:hideMark/>
          </w:tcPr>
          <w:p w14:paraId="7FF24DD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20.950</w:t>
            </w:r>
          </w:p>
        </w:tc>
      </w:tr>
      <w:tr w:rsidR="009158B7" w:rsidRPr="009158B7" w14:paraId="6F156B5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E1534F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E9E537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F4741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753FEBE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3C4E205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1FB0C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45,91</w:t>
            </w:r>
          </w:p>
        </w:tc>
        <w:tc>
          <w:tcPr>
            <w:tcW w:w="0" w:type="auto"/>
            <w:vAlign w:val="center"/>
            <w:hideMark/>
          </w:tcPr>
          <w:p w14:paraId="01CECA9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16.760</w:t>
            </w:r>
          </w:p>
        </w:tc>
      </w:tr>
      <w:tr w:rsidR="009158B7" w:rsidRPr="009158B7" w14:paraId="29CEF41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04B162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B9EB1E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1C114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13446C1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377959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B1826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36,73</w:t>
            </w:r>
          </w:p>
        </w:tc>
        <w:tc>
          <w:tcPr>
            <w:tcW w:w="0" w:type="auto"/>
            <w:vAlign w:val="center"/>
            <w:hideMark/>
          </w:tcPr>
          <w:p w14:paraId="3DE4F2D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13.408</w:t>
            </w:r>
          </w:p>
        </w:tc>
      </w:tr>
      <w:tr w:rsidR="009158B7" w:rsidRPr="009158B7" w14:paraId="0DF518C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2F33CE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73D9D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29,38</w:t>
            </w:r>
          </w:p>
        </w:tc>
        <w:tc>
          <w:tcPr>
            <w:tcW w:w="0" w:type="auto"/>
            <w:vAlign w:val="center"/>
            <w:hideMark/>
          </w:tcPr>
          <w:p w14:paraId="5F77B20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10.727</w:t>
            </w:r>
          </w:p>
        </w:tc>
      </w:tr>
      <w:tr w:rsidR="009158B7" w:rsidRPr="009158B7" w14:paraId="6D67EBC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EC51FA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5D1A5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23,51</w:t>
            </w:r>
          </w:p>
        </w:tc>
        <w:tc>
          <w:tcPr>
            <w:tcW w:w="0" w:type="auto"/>
            <w:vAlign w:val="center"/>
            <w:hideMark/>
          </w:tcPr>
          <w:p w14:paraId="7DC799E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8.581</w:t>
            </w:r>
          </w:p>
        </w:tc>
      </w:tr>
      <w:tr w:rsidR="009158B7" w:rsidRPr="009158B7" w14:paraId="53ACAB3F" w14:textId="77777777" w:rsidTr="009158B7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14:paraId="46CD792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обављају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банкарства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дериватима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електропривреде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кладионица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бинго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ноћних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9158B7" w:rsidRPr="009158B7" w14:paraId="6180BD81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2327BEF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годишње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C956D2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146559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9158B7" w:rsidRPr="009158B7" w14:paraId="1D9463FB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2F2E43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5B29F07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86,09</w:t>
            </w:r>
          </w:p>
        </w:tc>
        <w:tc>
          <w:tcPr>
            <w:tcW w:w="0" w:type="auto"/>
            <w:vAlign w:val="center"/>
            <w:hideMark/>
          </w:tcPr>
          <w:p w14:paraId="72FAE0F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31.425</w:t>
            </w:r>
          </w:p>
        </w:tc>
      </w:tr>
      <w:tr w:rsidR="009158B7" w:rsidRPr="009158B7" w14:paraId="50F2898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0CC535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9A65BE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201C8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77DC954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3930C3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B492DDE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68,8</w:t>
            </w:r>
          </w:p>
        </w:tc>
        <w:tc>
          <w:tcPr>
            <w:tcW w:w="0" w:type="auto"/>
            <w:vAlign w:val="center"/>
            <w:hideMark/>
          </w:tcPr>
          <w:p w14:paraId="01716FD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25.140</w:t>
            </w:r>
          </w:p>
        </w:tc>
      </w:tr>
      <w:tr w:rsidR="009158B7" w:rsidRPr="009158B7" w14:paraId="6700D452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457762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A5D4FF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D1E31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1293C42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5DE432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C20DB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55,10</w:t>
            </w:r>
          </w:p>
        </w:tc>
        <w:tc>
          <w:tcPr>
            <w:tcW w:w="0" w:type="auto"/>
            <w:vAlign w:val="center"/>
            <w:hideMark/>
          </w:tcPr>
          <w:p w14:paraId="6194552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20.112</w:t>
            </w:r>
          </w:p>
        </w:tc>
      </w:tr>
      <w:tr w:rsidR="009158B7" w:rsidRPr="009158B7" w14:paraId="385D036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9D9308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28CBB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44,08</w:t>
            </w:r>
          </w:p>
        </w:tc>
        <w:tc>
          <w:tcPr>
            <w:tcW w:w="0" w:type="auto"/>
            <w:vAlign w:val="center"/>
            <w:hideMark/>
          </w:tcPr>
          <w:p w14:paraId="341C2FA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16.089</w:t>
            </w:r>
          </w:p>
        </w:tc>
      </w:tr>
      <w:tr w:rsidR="009158B7" w:rsidRPr="009158B7" w14:paraId="68A2C40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357F87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E468C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35,26</w:t>
            </w:r>
          </w:p>
        </w:tc>
        <w:tc>
          <w:tcPr>
            <w:tcW w:w="0" w:type="auto"/>
            <w:vAlign w:val="center"/>
            <w:hideMark/>
          </w:tcPr>
          <w:p w14:paraId="1593F82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12.871</w:t>
            </w:r>
          </w:p>
        </w:tc>
      </w:tr>
      <w:tr w:rsidR="009158B7" w:rsidRPr="009158B7" w14:paraId="3A7990B0" w14:textId="77777777" w:rsidTr="009158B7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14:paraId="4748448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Предузетници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обављају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банкарства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дериватима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електропривреде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кладионица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бинго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ноћних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58B7" w:rsidRPr="009158B7" w14:paraId="2F9D467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4B078C4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15E652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31BFF1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9158B7" w:rsidRPr="009158B7" w14:paraId="4A898E2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FA4E26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8E527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86,02</w:t>
            </w:r>
          </w:p>
        </w:tc>
        <w:tc>
          <w:tcPr>
            <w:tcW w:w="0" w:type="auto"/>
            <w:vAlign w:val="center"/>
            <w:hideMark/>
          </w:tcPr>
          <w:p w14:paraId="75FEC99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31.425</w:t>
            </w:r>
          </w:p>
        </w:tc>
      </w:tr>
      <w:tr w:rsidR="009158B7" w:rsidRPr="009158B7" w14:paraId="5FCE875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A208E8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E0952C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BA2FF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4F809A0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12C185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AF5AE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69,58</w:t>
            </w:r>
          </w:p>
        </w:tc>
        <w:tc>
          <w:tcPr>
            <w:tcW w:w="0" w:type="auto"/>
            <w:vAlign w:val="center"/>
            <w:hideMark/>
          </w:tcPr>
          <w:p w14:paraId="593E8BA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25.400</w:t>
            </w:r>
          </w:p>
        </w:tc>
      </w:tr>
      <w:tr w:rsidR="009158B7" w:rsidRPr="009158B7" w14:paraId="4880A10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3A1CAE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0F1908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43578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03F7955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9ADF64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CE349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56,16</w:t>
            </w:r>
          </w:p>
        </w:tc>
        <w:tc>
          <w:tcPr>
            <w:tcW w:w="0" w:type="auto"/>
            <w:vAlign w:val="center"/>
            <w:hideMark/>
          </w:tcPr>
          <w:p w14:paraId="0EC3AE0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20.500</w:t>
            </w:r>
          </w:p>
        </w:tc>
      </w:tr>
      <w:tr w:rsidR="009158B7" w:rsidRPr="009158B7" w14:paraId="7662E9E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C29D65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0FD0D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46,57</w:t>
            </w:r>
          </w:p>
        </w:tc>
        <w:tc>
          <w:tcPr>
            <w:tcW w:w="0" w:type="auto"/>
            <w:vAlign w:val="center"/>
            <w:hideMark/>
          </w:tcPr>
          <w:p w14:paraId="05CBCC2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17.000</w:t>
            </w:r>
          </w:p>
        </w:tc>
      </w:tr>
      <w:tr w:rsidR="009158B7" w:rsidRPr="009158B7" w14:paraId="6CFE410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BB4FE1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83AB6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41,09</w:t>
            </w:r>
          </w:p>
        </w:tc>
        <w:tc>
          <w:tcPr>
            <w:tcW w:w="0" w:type="auto"/>
            <w:vAlign w:val="center"/>
            <w:hideMark/>
          </w:tcPr>
          <w:p w14:paraId="4B53E82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15.000</w:t>
            </w:r>
          </w:p>
        </w:tc>
      </w:tr>
      <w:tr w:rsidR="009158B7" w:rsidRPr="009158B7" w14:paraId="590F72F1" w14:textId="77777777" w:rsidTr="009158B7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14:paraId="7111F5C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обављају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банкарства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дериватима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електропривреде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кладионица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бинго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ноћних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58B7" w:rsidRPr="009158B7" w14:paraId="0031A3D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0B96DAE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B175CB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00AE75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9158B7" w:rsidRPr="009158B7" w14:paraId="2C65592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B6605D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FB6B3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143,49</w:t>
            </w:r>
          </w:p>
        </w:tc>
        <w:tc>
          <w:tcPr>
            <w:tcW w:w="0" w:type="auto"/>
            <w:vAlign w:val="center"/>
            <w:hideMark/>
          </w:tcPr>
          <w:p w14:paraId="3F4DF2B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52.376</w:t>
            </w:r>
          </w:p>
        </w:tc>
      </w:tr>
      <w:tr w:rsidR="009158B7" w:rsidRPr="009158B7" w14:paraId="150C3FC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71A24F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10975A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F3FBB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52BA8FC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1F658E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BE746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128,76</w:t>
            </w:r>
          </w:p>
        </w:tc>
        <w:tc>
          <w:tcPr>
            <w:tcW w:w="0" w:type="auto"/>
            <w:vAlign w:val="center"/>
            <w:hideMark/>
          </w:tcPr>
          <w:p w14:paraId="4F85953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47.000</w:t>
            </w:r>
          </w:p>
        </w:tc>
      </w:tr>
      <w:tr w:rsidR="009158B7" w:rsidRPr="009158B7" w14:paraId="59E9EB8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A2BEBD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2026ED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62231E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416F9B8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DFE35C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62A81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116,43</w:t>
            </w:r>
          </w:p>
        </w:tc>
        <w:tc>
          <w:tcPr>
            <w:tcW w:w="0" w:type="auto"/>
            <w:vAlign w:val="center"/>
            <w:hideMark/>
          </w:tcPr>
          <w:p w14:paraId="0FD6E08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42.500</w:t>
            </w:r>
          </w:p>
        </w:tc>
      </w:tr>
      <w:tr w:rsidR="009158B7" w:rsidRPr="009158B7" w14:paraId="6CC217B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1ADEAF2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1B378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95,89</w:t>
            </w:r>
          </w:p>
        </w:tc>
        <w:tc>
          <w:tcPr>
            <w:tcW w:w="0" w:type="auto"/>
            <w:vAlign w:val="center"/>
            <w:hideMark/>
          </w:tcPr>
          <w:p w14:paraId="072D37C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35.000</w:t>
            </w:r>
          </w:p>
        </w:tc>
      </w:tr>
      <w:tr w:rsidR="009158B7" w:rsidRPr="009158B7" w14:paraId="52862CE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D15F2A5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0A924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68,49</w:t>
            </w:r>
          </w:p>
        </w:tc>
        <w:tc>
          <w:tcPr>
            <w:tcW w:w="0" w:type="auto"/>
            <w:vAlign w:val="center"/>
            <w:hideMark/>
          </w:tcPr>
          <w:p w14:paraId="769BCFF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25.000</w:t>
            </w:r>
          </w:p>
        </w:tc>
      </w:tr>
      <w:tr w:rsidR="009158B7" w:rsidRPr="009158B7" w14:paraId="263C940D" w14:textId="77777777" w:rsidTr="009158B7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14:paraId="007511E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обављају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банкарства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дериватима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електропривреде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кладионица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бинго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ноћних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58B7" w:rsidRPr="009158B7" w14:paraId="407F31F2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D0874FC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7CF114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39625B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9158B7" w:rsidRPr="009158B7" w14:paraId="22DC3EA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AABF88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626AA7F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200,89</w:t>
            </w:r>
          </w:p>
        </w:tc>
        <w:tc>
          <w:tcPr>
            <w:tcW w:w="0" w:type="auto"/>
            <w:vAlign w:val="center"/>
            <w:hideMark/>
          </w:tcPr>
          <w:p w14:paraId="30BB774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73.326</w:t>
            </w:r>
          </w:p>
        </w:tc>
      </w:tr>
      <w:tr w:rsidR="009158B7" w:rsidRPr="009158B7" w14:paraId="644607E7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65D692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981C76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88E1A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6845E3B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DAA1E5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5A6E8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178,08</w:t>
            </w:r>
          </w:p>
        </w:tc>
        <w:tc>
          <w:tcPr>
            <w:tcW w:w="0" w:type="auto"/>
            <w:vAlign w:val="center"/>
            <w:hideMark/>
          </w:tcPr>
          <w:p w14:paraId="5250291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65.000</w:t>
            </w:r>
          </w:p>
        </w:tc>
      </w:tr>
      <w:tr w:rsidR="009158B7" w:rsidRPr="009158B7" w14:paraId="3A115EE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C3F08A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793BC89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8AD4C6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5AD2D477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772E63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F6901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158,90 </w:t>
            </w:r>
          </w:p>
        </w:tc>
        <w:tc>
          <w:tcPr>
            <w:tcW w:w="0" w:type="auto"/>
            <w:vAlign w:val="center"/>
            <w:hideMark/>
          </w:tcPr>
          <w:p w14:paraId="1702A07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45.000</w:t>
            </w:r>
          </w:p>
        </w:tc>
      </w:tr>
      <w:tr w:rsidR="009158B7" w:rsidRPr="009158B7" w14:paraId="103C2CF7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52DADE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75342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142,46 </w:t>
            </w:r>
          </w:p>
        </w:tc>
        <w:tc>
          <w:tcPr>
            <w:tcW w:w="0" w:type="auto"/>
            <w:vAlign w:val="center"/>
            <w:hideMark/>
          </w:tcPr>
          <w:p w14:paraId="3F5DE58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58.000</w:t>
            </w:r>
          </w:p>
        </w:tc>
      </w:tr>
      <w:tr w:rsidR="009158B7" w:rsidRPr="009158B7" w14:paraId="70BBB00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F95B1E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D7EC1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123,28</w:t>
            </w:r>
          </w:p>
        </w:tc>
        <w:tc>
          <w:tcPr>
            <w:tcW w:w="0" w:type="auto"/>
            <w:vAlign w:val="center"/>
            <w:hideMark/>
          </w:tcPr>
          <w:p w14:paraId="628A5A6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52.000</w:t>
            </w:r>
          </w:p>
        </w:tc>
      </w:tr>
      <w:tr w:rsidR="009158B7" w:rsidRPr="009158B7" w14:paraId="1215A7F1" w14:textId="77777777" w:rsidTr="009158B7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14:paraId="6B5E0C95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обављају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банкарства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дериватима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електропривреде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кладионица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бинго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ноћних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58B7" w:rsidRPr="009158B7" w14:paraId="68098DF7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3D88D1C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AA4CBB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4E6870" w14:textId="77777777" w:rsidR="009158B7" w:rsidRPr="009158B7" w:rsidRDefault="00915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9158B7" w:rsidRPr="009158B7" w14:paraId="556E8572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198318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B1822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258,29</w:t>
            </w:r>
          </w:p>
        </w:tc>
        <w:tc>
          <w:tcPr>
            <w:tcW w:w="0" w:type="auto"/>
            <w:vAlign w:val="center"/>
            <w:hideMark/>
          </w:tcPr>
          <w:p w14:paraId="72DAF82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94.276</w:t>
            </w:r>
          </w:p>
        </w:tc>
      </w:tr>
      <w:tr w:rsidR="009158B7" w:rsidRPr="009158B7" w14:paraId="336C41B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C0256B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0C6287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0C141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07D226A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B214D7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A5951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232,87</w:t>
            </w:r>
          </w:p>
        </w:tc>
        <w:tc>
          <w:tcPr>
            <w:tcW w:w="0" w:type="auto"/>
            <w:vAlign w:val="center"/>
            <w:hideMark/>
          </w:tcPr>
          <w:p w14:paraId="16564CE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85.000</w:t>
            </w:r>
          </w:p>
        </w:tc>
      </w:tr>
      <w:tr w:rsidR="009158B7" w:rsidRPr="009158B7" w14:paraId="29672AE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42250A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37CEB0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51A656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4915196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5E69F5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7B8CE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209,58</w:t>
            </w:r>
          </w:p>
        </w:tc>
        <w:tc>
          <w:tcPr>
            <w:tcW w:w="0" w:type="auto"/>
            <w:vAlign w:val="center"/>
            <w:hideMark/>
          </w:tcPr>
          <w:p w14:paraId="3DD90156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76.500</w:t>
            </w:r>
          </w:p>
        </w:tc>
      </w:tr>
      <w:tr w:rsidR="009158B7" w:rsidRPr="009158B7" w14:paraId="51857A8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97C8A7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D8CF5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186,30</w:t>
            </w:r>
          </w:p>
        </w:tc>
        <w:tc>
          <w:tcPr>
            <w:tcW w:w="0" w:type="auto"/>
            <w:vAlign w:val="center"/>
            <w:hideMark/>
          </w:tcPr>
          <w:p w14:paraId="1D97543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68.000</w:t>
            </w:r>
          </w:p>
        </w:tc>
      </w:tr>
      <w:tr w:rsidR="009158B7" w:rsidRPr="009158B7" w14:paraId="735ACF7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8BA2C4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41E2E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167,12</w:t>
            </w:r>
          </w:p>
        </w:tc>
        <w:tc>
          <w:tcPr>
            <w:tcW w:w="0" w:type="auto"/>
            <w:vAlign w:val="center"/>
            <w:hideMark/>
          </w:tcPr>
          <w:p w14:paraId="1FAAB7D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61.000</w:t>
            </w:r>
          </w:p>
        </w:tc>
      </w:tr>
      <w:tr w:rsidR="009158B7" w:rsidRPr="009158B7" w14:paraId="7CB6CB77" w14:textId="77777777" w:rsidTr="009158B7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14:paraId="7DD558A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Наплату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овог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Шапца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инспекцијског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A89B7B" w14:textId="77777777" w:rsidR="009158B7" w:rsidRPr="009158B7" w:rsidRDefault="009158B7" w:rsidP="009158B7">
      <w:pPr>
        <w:pStyle w:val="7podnas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5E616BEA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друмских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прикључних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куповином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порука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9"/>
        <w:gridCol w:w="1025"/>
      </w:tblGrid>
      <w:tr w:rsidR="009158B7" w:rsidRPr="009158B7" w14:paraId="18698B3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A75CC9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првој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започети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7437B6B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3A75AE3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40E4C7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другој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започети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5399484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3E188A3B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FA9748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четири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првој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14:paraId="32E9601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5F80570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E7BC98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приколицом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претходног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увећава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100%.</w:t>
            </w:r>
          </w:p>
        </w:tc>
        <w:tc>
          <w:tcPr>
            <w:tcW w:w="0" w:type="auto"/>
            <w:vAlign w:val="bottom"/>
            <w:hideMark/>
          </w:tcPr>
          <w:p w14:paraId="7DEF46E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99851AE" w14:textId="77777777" w:rsidR="009158B7" w:rsidRPr="009158B7" w:rsidRDefault="009158B7" w:rsidP="009158B7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79"/>
        <w:gridCol w:w="1245"/>
      </w:tblGrid>
      <w:tr w:rsidR="009158B7" w:rsidRPr="009158B7" w14:paraId="7FB4463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38276B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аутобуса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депоу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започети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износи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7F1264DC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6A01D81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1F6238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затвореним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паркиралиштима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започети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износи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1ABD44B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3A22028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3CB489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Месечна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претплата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08AB993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4DF613A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5C8320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путничка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паркиралиштима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bottom"/>
            <w:hideMark/>
          </w:tcPr>
          <w:p w14:paraId="2C337AA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5B5C399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45D5245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путничка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паркиралиштима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Align w:val="bottom"/>
            <w:hideMark/>
          </w:tcPr>
          <w:p w14:paraId="3B2A286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2084C791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C1AA86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путничка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затвореним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паркиралиштима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25BB60FE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38702F4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0E8D09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затвореним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паркиралиштима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1E97965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0151CFD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2D260D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аутобусе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депоу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1BD97B0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4.000,00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5DC42022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A9EBD6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путничка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станаре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76D4D38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3430103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811B1C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Резервација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започети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месец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износи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69DF3CE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23DC92E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2EA942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Резервација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више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започети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месец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износи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6C41656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7F9CDBE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FFBE03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износи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5CD557F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ADDF3A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1, 2, 3, 4, 5, 6, 7 и 8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наплаћује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ЈКП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Паркинг-Шабац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Шабац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0C597C8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параплегичари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слепи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слабовиди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глуви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наглуви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дистрофичари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церебралном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дечијом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парализом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аутизмом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одговарајућу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приложену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ЈКП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Паркинг-Шабац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00B1351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пролаз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заустављање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забрањеној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одобрења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режиму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Шабац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39"/>
        <w:gridCol w:w="1685"/>
      </w:tblGrid>
      <w:tr w:rsidR="009158B7" w:rsidRPr="009158B7" w14:paraId="4566BB5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3F1072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тона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70AD5A1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2DA56C4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12CCF7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20F00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708EADC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E36AB2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50606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14A60009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2CAD6FC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пролаз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заустављање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58B7" w:rsidRPr="009158B7" w14:paraId="755789B2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F5C0B7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30EF4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78FA744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A4A5FE2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4D426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698F653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B4C1E2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2DFEA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59B6C5D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D2B0EA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овог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наплаћује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комунално-стамбене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7DDF96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4E79AC3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3D134A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обележених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стајалишту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DED40D" w14:textId="77777777" w:rsidR="009158B7" w:rsidRPr="009158B7" w:rsidRDefault="009158B7">
            <w:pPr>
              <w:pStyle w:val="NormalWeb"/>
              <w:jc w:val="right"/>
            </w:pPr>
            <w:r w:rsidRPr="009158B7">
              <w:t xml:space="preserve">13,00 </w:t>
            </w:r>
            <w:proofErr w:type="spellStart"/>
            <w:r w:rsidRPr="009158B7">
              <w:t>дин</w:t>
            </w:r>
            <w:proofErr w:type="spellEnd"/>
            <w:r w:rsidRPr="009158B7">
              <w:t>.</w:t>
            </w:r>
          </w:p>
        </w:tc>
      </w:tr>
    </w:tbl>
    <w:p w14:paraId="2CD0D4B5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регистровано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27D00F7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09ADC11" w14:textId="77777777" w:rsidR="009158B7" w:rsidRPr="009158B7" w:rsidRDefault="009158B7" w:rsidP="009158B7">
      <w:pPr>
        <w:pStyle w:val="7podnas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7FF97E4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слободних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камповање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дневно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метру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квадратном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заузете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216F08D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одобравања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BB31B37" w14:textId="77777777" w:rsidR="009158B7" w:rsidRPr="009158B7" w:rsidRDefault="009158B7" w:rsidP="009158B7">
      <w:pPr>
        <w:pStyle w:val="7podnas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7.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84"/>
        <w:gridCol w:w="940"/>
      </w:tblGrid>
      <w:tr w:rsidR="009158B7" w:rsidRPr="009158B7" w14:paraId="66C2475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127D12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држање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прикључних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901D5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1619557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638431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7731C8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4D4D1CD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4F0463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C193B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158B7" w:rsidRPr="009158B7" w14:paraId="0C8345D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257341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76897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19BFBDF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319F1E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625E1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2B6F0EE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BE890D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0A5516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6E6F9BA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E9C5D15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аутомобиле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ABD74E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54A4B39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AB37172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путничка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113EE2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4EA53D6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D8AD57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2C0AB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6568F031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43116C5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435D8E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1A2A175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5D37F5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C7EF0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7D6948C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BCE541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600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000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7D27B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7017E46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B1A0E6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A8497C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3A955CE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FA117E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1F01D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2E1AC0D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F1B048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A89A8B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5EF58907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363ABD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C49E3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387C3A4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C96B97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5607F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3469B92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0D40AA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A8D11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50B1FF0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6F081D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200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B277F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7E1E762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7925CE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200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02F93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8B7" w:rsidRPr="009158B7" w14:paraId="7246C98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1A7E6E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аутобусе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бусеве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52D87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1FEBD1A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0AF509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регистрованом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B44C9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52B0A32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4D659A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прикључна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полуприколице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одређених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E3AD95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775F543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D6EF3E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8EDA7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3451737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F2E345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9AEBB6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2E472F5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3C8827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41D2F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20D1A69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BF0D042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726D2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6B80E5C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5F1B92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</w:t>
            </w:r>
          </w:p>
        </w:tc>
        <w:tc>
          <w:tcPr>
            <w:tcW w:w="0" w:type="auto"/>
            <w:vAlign w:val="center"/>
            <w:hideMark/>
          </w:tcPr>
          <w:p w14:paraId="4558675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7584086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AFB91C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вучна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тегљаче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14:paraId="3013753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32D170D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5445B2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киловата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6A808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2C79027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7E2D1F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66-96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киловата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9E56E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1AAF280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96120B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96-132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киловата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310C3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7015065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C9F39E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132-177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киловата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7E51CE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53022B4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1A1A59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177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киловата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59F46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</w:tbl>
    <w:p w14:paraId="1543E392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специјална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адаптирана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реквизита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путујуће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атестирана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специјализована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пчела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1. 000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</w:t>
      </w:r>
      <w:proofErr w:type="spellEnd"/>
    </w:p>
    <w:p w14:paraId="687E0D2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наплаћује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регистровању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6CBD5C8" w14:textId="77777777" w:rsid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14D5251D" w14:textId="77777777" w:rsid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4FFD79A3" w14:textId="77777777" w:rsid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4A305395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3B034E2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08D9EB8A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0" w:name="zk10/13"/>
      <w:bookmarkEnd w:id="0"/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62/06, 47/11 и 93/12)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32. и 99.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32/08),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07.06.2013.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DB78B" w14:textId="77777777" w:rsidR="009158B7" w:rsidRPr="009158B7" w:rsidRDefault="009158B7" w:rsidP="009158B7">
      <w:pPr>
        <w:pStyle w:val="2zakon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Одлуку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изменама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допунама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Одлуке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локалним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комуналним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таксама</w:t>
      </w:r>
      <w:proofErr w:type="spellEnd"/>
    </w:p>
    <w:p w14:paraId="13E721FF" w14:textId="77777777" w:rsidR="009158B7" w:rsidRPr="009158B7" w:rsidRDefault="009158B7" w:rsidP="009158B7">
      <w:pPr>
        <w:pStyle w:val="3mesto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Одлука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објављена</w:t>
      </w:r>
      <w:proofErr w:type="spellEnd"/>
      <w:r w:rsidRPr="009158B7">
        <w:rPr>
          <w:rFonts w:ascii="Times New Roman" w:hAnsi="Times New Roman" w:cs="Times New Roman"/>
        </w:rPr>
        <w:t xml:space="preserve"> у "</w:t>
      </w:r>
      <w:proofErr w:type="spellStart"/>
      <w:r w:rsidRPr="009158B7">
        <w:rPr>
          <w:rFonts w:ascii="Times New Roman" w:hAnsi="Times New Roman" w:cs="Times New Roman"/>
        </w:rPr>
        <w:t>Службеном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листу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града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Шапца</w:t>
      </w:r>
      <w:proofErr w:type="spellEnd"/>
      <w:r w:rsidRPr="009158B7">
        <w:rPr>
          <w:rFonts w:ascii="Times New Roman" w:hAnsi="Times New Roman" w:cs="Times New Roman"/>
        </w:rPr>
        <w:t xml:space="preserve">", </w:t>
      </w:r>
      <w:proofErr w:type="spellStart"/>
      <w:r w:rsidRPr="009158B7">
        <w:rPr>
          <w:rFonts w:ascii="Times New Roman" w:hAnsi="Times New Roman" w:cs="Times New Roman"/>
        </w:rPr>
        <w:t>бр</w:t>
      </w:r>
      <w:proofErr w:type="spellEnd"/>
      <w:r w:rsidRPr="009158B7">
        <w:rPr>
          <w:rFonts w:ascii="Times New Roman" w:hAnsi="Times New Roman" w:cs="Times New Roman"/>
        </w:rPr>
        <w:t xml:space="preserve">. 10/2013 </w:t>
      </w:r>
      <w:proofErr w:type="spellStart"/>
      <w:r w:rsidRPr="009158B7">
        <w:rPr>
          <w:rFonts w:ascii="Times New Roman" w:hAnsi="Times New Roman" w:cs="Times New Roman"/>
        </w:rPr>
        <w:t>од</w:t>
      </w:r>
      <w:proofErr w:type="spellEnd"/>
      <w:r w:rsidRPr="009158B7">
        <w:rPr>
          <w:rFonts w:ascii="Times New Roman" w:hAnsi="Times New Roman" w:cs="Times New Roman"/>
        </w:rPr>
        <w:t xml:space="preserve"> 7.6.2013. </w:t>
      </w:r>
      <w:proofErr w:type="spellStart"/>
      <w:r w:rsidRPr="009158B7">
        <w:rPr>
          <w:rFonts w:ascii="Times New Roman" w:hAnsi="Times New Roman" w:cs="Times New Roman"/>
        </w:rPr>
        <w:t>године</w:t>
      </w:r>
      <w:proofErr w:type="spellEnd"/>
      <w:r w:rsidRPr="009158B7">
        <w:rPr>
          <w:rFonts w:ascii="Times New Roman" w:hAnsi="Times New Roman" w:cs="Times New Roman"/>
        </w:rPr>
        <w:t xml:space="preserve">, а </w:t>
      </w:r>
      <w:proofErr w:type="spellStart"/>
      <w:r w:rsidRPr="009158B7">
        <w:rPr>
          <w:rFonts w:ascii="Times New Roman" w:hAnsi="Times New Roman" w:cs="Times New Roman"/>
        </w:rPr>
        <w:t>ступила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на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снагу</w:t>
      </w:r>
      <w:proofErr w:type="spellEnd"/>
      <w:r w:rsidRPr="009158B7">
        <w:rPr>
          <w:rFonts w:ascii="Times New Roman" w:hAnsi="Times New Roman" w:cs="Times New Roman"/>
        </w:rPr>
        <w:t xml:space="preserve"> 15.6.2013.</w:t>
      </w:r>
    </w:p>
    <w:p w14:paraId="250FE697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bookmarkStart w:id="1" w:name="zk10/13-1"/>
      <w:bookmarkEnd w:id="1"/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1.</w:t>
      </w:r>
    </w:p>
    <w:p w14:paraId="6E0DF61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31/12)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28A7866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друмских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прикључних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куповином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СМС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порука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90"/>
        <w:gridCol w:w="1834"/>
      </w:tblGrid>
      <w:tr w:rsidR="009158B7" w:rsidRPr="009158B7" w14:paraId="2F45364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DDC35E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првој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започети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0C848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6A62D2E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D40896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другој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започети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E40A0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4DDE37D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C414EF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паркирање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7F474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</w:tr>
    </w:tbl>
    <w:p w14:paraId="61115D7E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алинеји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"300,00"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"350,00".</w:t>
      </w:r>
    </w:p>
    <w:p w14:paraId="723C868F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2.</w:t>
      </w:r>
    </w:p>
    <w:p w14:paraId="1703095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".</w:t>
      </w:r>
    </w:p>
    <w:p w14:paraId="6A8A564C" w14:textId="77777777" w:rsidR="009158B7" w:rsidRPr="009158B7" w:rsidRDefault="009158B7" w:rsidP="009158B7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b/>
          <w:bCs/>
          <w:sz w:val="24"/>
          <w:szCs w:val="24"/>
        </w:rPr>
        <w:t>СКУПШТИНА ГРАДА ШАПЦА</w:t>
      </w:r>
    </w:p>
    <w:p w14:paraId="581D9FF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 020-46/2013-14</w:t>
      </w:r>
    </w:p>
    <w:p w14:paraId="038D9D79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ПРЕДСЕДНИК СКУПШТИНЕ</w:t>
      </w:r>
    </w:p>
    <w:p w14:paraId="6ADED1EB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Слободан</w:t>
      </w:r>
      <w:proofErr w:type="spellEnd"/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Марковић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01280F99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78EB115B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6D05D9C7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2" w:name="zk17/13"/>
      <w:bookmarkEnd w:id="2"/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PC",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62/06, 47/11 и 93/12)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32. и 99.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32/08),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6.09.2013.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14808721" w14:textId="77777777" w:rsidR="009158B7" w:rsidRPr="009158B7" w:rsidRDefault="009158B7" w:rsidP="009158B7">
      <w:pPr>
        <w:pStyle w:val="2zakon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Одлуку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изменама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допунама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Одлуке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локалним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комуналним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таксама</w:t>
      </w:r>
      <w:proofErr w:type="spellEnd"/>
    </w:p>
    <w:p w14:paraId="21CCBCC1" w14:textId="77777777" w:rsidR="009158B7" w:rsidRPr="009158B7" w:rsidRDefault="009158B7" w:rsidP="009158B7">
      <w:pPr>
        <w:pStyle w:val="3mesto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Одлука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објављена</w:t>
      </w:r>
      <w:proofErr w:type="spellEnd"/>
      <w:r w:rsidRPr="009158B7">
        <w:rPr>
          <w:rFonts w:ascii="Times New Roman" w:hAnsi="Times New Roman" w:cs="Times New Roman"/>
        </w:rPr>
        <w:t xml:space="preserve"> у "</w:t>
      </w:r>
      <w:proofErr w:type="spellStart"/>
      <w:r w:rsidRPr="009158B7">
        <w:rPr>
          <w:rFonts w:ascii="Times New Roman" w:hAnsi="Times New Roman" w:cs="Times New Roman"/>
        </w:rPr>
        <w:t>Службеном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листу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града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Шапца</w:t>
      </w:r>
      <w:proofErr w:type="spellEnd"/>
      <w:r w:rsidRPr="009158B7">
        <w:rPr>
          <w:rFonts w:ascii="Times New Roman" w:hAnsi="Times New Roman" w:cs="Times New Roman"/>
        </w:rPr>
        <w:t xml:space="preserve">", </w:t>
      </w:r>
      <w:proofErr w:type="spellStart"/>
      <w:r w:rsidRPr="009158B7">
        <w:rPr>
          <w:rFonts w:ascii="Times New Roman" w:hAnsi="Times New Roman" w:cs="Times New Roman"/>
        </w:rPr>
        <w:t>бр</w:t>
      </w:r>
      <w:proofErr w:type="spellEnd"/>
      <w:r w:rsidRPr="009158B7">
        <w:rPr>
          <w:rFonts w:ascii="Times New Roman" w:hAnsi="Times New Roman" w:cs="Times New Roman"/>
        </w:rPr>
        <w:t xml:space="preserve">. 17/2013 </w:t>
      </w:r>
      <w:proofErr w:type="spellStart"/>
      <w:r w:rsidRPr="009158B7">
        <w:rPr>
          <w:rFonts w:ascii="Times New Roman" w:hAnsi="Times New Roman" w:cs="Times New Roman"/>
        </w:rPr>
        <w:t>од</w:t>
      </w:r>
      <w:proofErr w:type="spellEnd"/>
      <w:r w:rsidRPr="009158B7">
        <w:rPr>
          <w:rFonts w:ascii="Times New Roman" w:hAnsi="Times New Roman" w:cs="Times New Roman"/>
        </w:rPr>
        <w:t xml:space="preserve"> 6.9.2013. </w:t>
      </w:r>
      <w:proofErr w:type="spellStart"/>
      <w:r w:rsidRPr="009158B7">
        <w:rPr>
          <w:rFonts w:ascii="Times New Roman" w:hAnsi="Times New Roman" w:cs="Times New Roman"/>
        </w:rPr>
        <w:t>године</w:t>
      </w:r>
      <w:proofErr w:type="spellEnd"/>
      <w:r w:rsidRPr="009158B7">
        <w:rPr>
          <w:rFonts w:ascii="Times New Roman" w:hAnsi="Times New Roman" w:cs="Times New Roman"/>
        </w:rPr>
        <w:t xml:space="preserve">, а </w:t>
      </w:r>
      <w:proofErr w:type="spellStart"/>
      <w:r w:rsidRPr="009158B7">
        <w:rPr>
          <w:rFonts w:ascii="Times New Roman" w:hAnsi="Times New Roman" w:cs="Times New Roman"/>
        </w:rPr>
        <w:t>ступила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на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снагу</w:t>
      </w:r>
      <w:proofErr w:type="spellEnd"/>
      <w:r w:rsidRPr="009158B7">
        <w:rPr>
          <w:rFonts w:ascii="Times New Roman" w:hAnsi="Times New Roman" w:cs="Times New Roman"/>
        </w:rPr>
        <w:t xml:space="preserve"> 14.9.2013.</w:t>
      </w:r>
    </w:p>
    <w:p w14:paraId="467201B1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bookmarkStart w:id="3" w:name="zk17/13-1"/>
      <w:bookmarkEnd w:id="3"/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1.</w:t>
      </w:r>
    </w:p>
    <w:p w14:paraId="1EB7CB61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31/12 и 10/13)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3.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6poj 4.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мењају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0C02072E" w14:textId="77777777" w:rsidR="009158B7" w:rsidRPr="009158B7" w:rsidRDefault="009158B7" w:rsidP="009158B7">
      <w:pPr>
        <w:pStyle w:val="7podnas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44DA395E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02D793D5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50.000.000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бруто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1"/>
        <w:gridCol w:w="3753"/>
      </w:tblGrid>
      <w:tr w:rsidR="009158B7" w:rsidRPr="009158B7" w14:paraId="428C751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34F0D3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BA278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5754FFD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1759D0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16A216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E7600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умањује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сеоских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15CAC1D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150.000,00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B43A2D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издвојеном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бруто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8"/>
        <w:gridCol w:w="4186"/>
      </w:tblGrid>
      <w:tr w:rsidR="009158B7" w:rsidRPr="009158B7" w14:paraId="6BF26452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CCABE7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F9A31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26.000.00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13D387C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CFF9C1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150E5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52.000,00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50CC04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умањује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сеоских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539153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150.000,00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9F0E73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издвојеном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бруто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8"/>
        <w:gridCol w:w="4186"/>
      </w:tblGrid>
      <w:tr w:rsidR="009158B7" w:rsidRPr="009158B7" w14:paraId="6C765A11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9E3980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4B227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6AA9040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36A1D6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F719E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52.000,00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0BCC2A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умањује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сеоских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CA468B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уређуje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350.000,00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A52C95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502EEBD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C8DA44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10E4D712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jecтe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истакнути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yпућyje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61B90E7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истакнутих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A92ACB5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издвојеном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истакнуту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7F87DD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јединицу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огранак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заступништво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одговарајућем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23004BA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претежну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споредну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D63993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50.000.000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0F8BDD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привремене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одјаве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1990261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регистрације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стечаја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стечаја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15FD326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ослобођени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2D849515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дирекције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ослобођени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258086A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претежну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уметничке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занате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радиности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1647B6C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Фирмарину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верске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хуманитарне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спортска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непрофитна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83BDC30" w14:textId="77777777" w:rsidR="009158B7" w:rsidRPr="009158B7" w:rsidRDefault="009158B7" w:rsidP="009158B7">
      <w:pPr>
        <w:pStyle w:val="7podnas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0B7B0CD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паноа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исписивање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коловози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тротоари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зелене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0AA90B3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празна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празна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50.000.000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дериватима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дуванским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цемента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поштанских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телефонских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кладионица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коцкарских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ноћних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дискотека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зазисности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бруто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позршине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40"/>
        <w:gridCol w:w="1084"/>
      </w:tblGrid>
      <w:tr w:rsidR="009158B7" w:rsidRPr="009158B7" w14:paraId="22880AE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2203F22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22C26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годишње</w:t>
            </w:r>
            <w:proofErr w:type="spellEnd"/>
          </w:p>
        </w:tc>
      </w:tr>
      <w:tr w:rsidR="009158B7" w:rsidRPr="009158B7" w14:paraId="1FBE52F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8184AD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Зопа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FCEA8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</w:tr>
      <w:tr w:rsidR="009158B7" w:rsidRPr="009158B7" w14:paraId="0E2F1AA2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6382060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 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191EB73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01D80A2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DCA12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4.200</w:t>
            </w:r>
          </w:p>
        </w:tc>
      </w:tr>
      <w:tr w:rsidR="009158B7" w:rsidRPr="009158B7" w14:paraId="67B38846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4A66E03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44600A7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D7FC26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52464E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3.200</w:t>
            </w:r>
          </w:p>
        </w:tc>
      </w:tr>
      <w:tr w:rsidR="009158B7" w:rsidRPr="009158B7" w14:paraId="73C3ADF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37E087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178E8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2.200</w:t>
            </w:r>
          </w:p>
        </w:tc>
      </w:tr>
      <w:tr w:rsidR="009158B7" w:rsidRPr="009158B7" w14:paraId="6E01DA32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4F54C7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8387E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1.200</w:t>
            </w:r>
          </w:p>
        </w:tc>
      </w:tr>
      <w:tr w:rsidR="009158B7" w:rsidRPr="009158B7" w14:paraId="1126D5E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81CA73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200 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/>
              </w:rPr>
              <w:t>m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4827AC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годишње</w:t>
            </w:r>
            <w:proofErr w:type="spellEnd"/>
          </w:p>
        </w:tc>
      </w:tr>
      <w:tr w:rsidR="009158B7" w:rsidRPr="009158B7" w14:paraId="453938D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9E84E9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1BCAA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10.400</w:t>
            </w:r>
          </w:p>
        </w:tc>
      </w:tr>
      <w:tr w:rsidR="009158B7" w:rsidRPr="009158B7" w14:paraId="61540D0A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3F45517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1440642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085104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/>
              </w:rPr>
              <w:t>II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CF216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8.300</w:t>
            </w:r>
          </w:p>
        </w:tc>
      </w:tr>
      <w:tr w:rsidR="009158B7" w:rsidRPr="009158B7" w14:paraId="191516AD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054DE9F5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пpостoр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пpocтop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0AADB479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913A6F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F838F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6.400</w:t>
            </w:r>
          </w:p>
        </w:tc>
      </w:tr>
      <w:tr w:rsidR="009158B7" w:rsidRPr="009158B7" w14:paraId="72248A1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4F1328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2CB4E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4.800</w:t>
            </w:r>
          </w:p>
        </w:tc>
      </w:tr>
      <w:tr w:rsidR="009158B7" w:rsidRPr="009158B7" w14:paraId="78D6E33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ED2402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F5555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2.400</w:t>
            </w:r>
          </w:p>
        </w:tc>
      </w:tr>
      <w:tr w:rsidR="009158B7" w:rsidRPr="009158B7" w14:paraId="6F84910C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66D75FD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4. 2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кoja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обављају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банкарства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дериватима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електропривреде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кладионица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бинго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ноћних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9158B7" w:rsidRPr="009158B7" w14:paraId="081CA987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BBD604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24A6B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годишње</w:t>
            </w:r>
            <w:proofErr w:type="spellEnd"/>
          </w:p>
        </w:tc>
      </w:tr>
      <w:tr w:rsidR="009158B7" w:rsidRPr="009158B7" w14:paraId="0F8EDA9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EA05AD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78CA9A5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30.000</w:t>
            </w:r>
          </w:p>
        </w:tc>
      </w:tr>
      <w:tr w:rsidR="009158B7" w:rsidRPr="009158B7" w14:paraId="07885351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7664792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центрa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758AEFE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3F0FA02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B3DF5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24.000</w:t>
            </w:r>
          </w:p>
        </w:tc>
      </w:tr>
      <w:tr w:rsidR="009158B7" w:rsidRPr="009158B7" w14:paraId="5DEFCA19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6E235E9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кpaja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119.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7CA6943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32910C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765BA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19.200</w:t>
            </w:r>
          </w:p>
        </w:tc>
      </w:tr>
      <w:tr w:rsidR="009158B7" w:rsidRPr="009158B7" w14:paraId="7F9DE22B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D91FD6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B3C51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15.400</w:t>
            </w:r>
          </w:p>
        </w:tc>
      </w:tr>
      <w:tr w:rsidR="009158B7" w:rsidRPr="009158B7" w14:paraId="688CAFA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6FA766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9CD46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3.500</w:t>
            </w:r>
          </w:p>
        </w:tc>
      </w:tr>
      <w:tr w:rsidR="009158B7" w:rsidRPr="009158B7" w14:paraId="72CA739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83C9E9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истицање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исписивање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припадају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коловози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тротоари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издвојеном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обвезник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таксу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зависности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бруто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89E0FA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5AD70F0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BC2765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200 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/>
              </w:rPr>
              <w:t>m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4226C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годишње</w:t>
            </w:r>
            <w:proofErr w:type="spellEnd"/>
          </w:p>
        </w:tc>
      </w:tr>
      <w:tr w:rsidR="009158B7" w:rsidRPr="009158B7" w14:paraId="0720B12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767DB0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364B705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5.200</w:t>
            </w:r>
          </w:p>
        </w:tc>
      </w:tr>
      <w:tr w:rsidR="009158B7" w:rsidRPr="009158B7" w14:paraId="0E714D95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0C3954A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32D7E41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BBA087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E3DE6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4.200</w:t>
            </w:r>
          </w:p>
        </w:tc>
      </w:tr>
      <w:tr w:rsidR="009158B7" w:rsidRPr="009158B7" w14:paraId="4A457FFC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1F563BE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404FFC0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74BC9A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84D79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3.200</w:t>
            </w:r>
          </w:p>
        </w:tc>
      </w:tr>
      <w:tr w:rsidR="009158B7" w:rsidRPr="009158B7" w14:paraId="17982D0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7852EA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5C864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2.200</w:t>
            </w:r>
          </w:p>
        </w:tc>
      </w:tr>
      <w:tr w:rsidR="009158B7" w:rsidRPr="009158B7" w14:paraId="7B6C999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405551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9D44F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1.200</w:t>
            </w:r>
          </w:p>
        </w:tc>
      </w:tr>
      <w:tr w:rsidR="009158B7" w:rsidRPr="009158B7" w14:paraId="02DCEDB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04E17F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200 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/>
              </w:rPr>
              <w:t>m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FA495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годишње</w:t>
            </w:r>
            <w:proofErr w:type="spellEnd"/>
          </w:p>
        </w:tc>
      </w:tr>
      <w:tr w:rsidR="009158B7" w:rsidRPr="009158B7" w14:paraId="6F5BC5A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099690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485E93E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10.400</w:t>
            </w:r>
          </w:p>
        </w:tc>
      </w:tr>
      <w:tr w:rsidR="009158B7" w:rsidRPr="009158B7" w14:paraId="1AF2B794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2EB96F6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3F9CAE1F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C796C5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3E8C6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8.300</w:t>
            </w:r>
          </w:p>
        </w:tc>
      </w:tr>
      <w:tr w:rsidR="009158B7" w:rsidRPr="009158B7" w14:paraId="79A0D989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78D0B44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0135A7A2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AC6639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E682D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6.400</w:t>
            </w:r>
          </w:p>
        </w:tc>
      </w:tr>
      <w:tr w:rsidR="009158B7" w:rsidRPr="009158B7" w14:paraId="774CC62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26C903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E4BDA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4.800</w:t>
            </w:r>
          </w:p>
        </w:tc>
      </w:tr>
      <w:tr w:rsidR="009158B7" w:rsidRPr="009158B7" w14:paraId="53A26AA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75AE23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A4DC4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2.400</w:t>
            </w:r>
          </w:p>
        </w:tc>
      </w:tr>
      <w:tr w:rsidR="009158B7" w:rsidRPr="009158B7" w14:paraId="3DFB7D25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18E2559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4. 3.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уређује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предузетници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обављају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</w:p>
        </w:tc>
      </w:tr>
      <w:tr w:rsidR="009158B7" w:rsidRPr="009158B7" w14:paraId="53F8555D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3FCB9B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416ED54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годишње</w:t>
            </w:r>
            <w:proofErr w:type="spellEnd"/>
          </w:p>
        </w:tc>
      </w:tr>
      <w:tr w:rsidR="009158B7" w:rsidRPr="009158B7" w14:paraId="6560315E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8EFAB72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1D912C6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30.000</w:t>
            </w:r>
          </w:p>
        </w:tc>
      </w:tr>
      <w:tr w:rsidR="009158B7" w:rsidRPr="009158B7" w14:paraId="24D4A646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3652E2D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2D533D9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CFB9B4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81CAF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24.000</w:t>
            </w:r>
          </w:p>
        </w:tc>
      </w:tr>
      <w:tr w:rsidR="009158B7" w:rsidRPr="009158B7" w14:paraId="4AD51AF4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6D6EB2F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простор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1F7D043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C77DF7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C5272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19.200</w:t>
            </w:r>
          </w:p>
        </w:tc>
      </w:tr>
      <w:tr w:rsidR="009158B7" w:rsidRPr="009158B7" w14:paraId="3B6A7B8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A17E9D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7346A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15.400</w:t>
            </w:r>
          </w:p>
        </w:tc>
      </w:tr>
      <w:tr w:rsidR="009158B7" w:rsidRPr="009158B7" w14:paraId="17E49E28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F12352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8EC33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3.500</w:t>
            </w:r>
          </w:p>
        </w:tc>
      </w:tr>
      <w:tr w:rsidR="009158B7" w:rsidRPr="009158B7" w14:paraId="236CE1C8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3894116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2. 4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предузетници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обављају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банкарства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дериватима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електропривреде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кладионица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бинго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сала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коцкарских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ноћних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158B7" w:rsidRPr="009158B7" w14:paraId="50DAADD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31E7A1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3DB1C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</w:tr>
      <w:tr w:rsidR="009158B7" w:rsidRPr="009158B7" w14:paraId="371B526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04CA71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/>
              </w:rPr>
              <w:t xml:space="preserve">I </w:t>
            </w: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Господар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Јевремова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47B2F2D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70.000</w:t>
            </w:r>
          </w:p>
        </w:tc>
      </w:tr>
      <w:tr w:rsidR="009158B7" w:rsidRPr="009158B7" w14:paraId="52FD5DB5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2E356F5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Карађорђева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Војске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жртава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Ђачког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батаљона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3FD2861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D00C15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II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Душана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05351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56.000</w:t>
            </w:r>
          </w:p>
        </w:tc>
      </w:tr>
      <w:tr w:rsidR="009158B7" w:rsidRPr="009158B7" w14:paraId="4A9012FB" w14:textId="77777777" w:rsidTr="009158B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0A6E752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Масарикова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улица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Шабачке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библиотеке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дo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пpocтop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регулационих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планова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1-7,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Блока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119,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пpocтop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158B7" w:rsidRPr="009158B7" w14:paraId="579E7F3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435168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Старог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AE0FBC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45.000</w:t>
            </w:r>
          </w:p>
        </w:tc>
      </w:tr>
      <w:tr w:rsidR="009158B7" w:rsidRPr="009158B7" w14:paraId="61E751DB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7682DAE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Остали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делови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15018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36.000</w:t>
            </w:r>
          </w:p>
        </w:tc>
      </w:tr>
      <w:tr w:rsidR="009158B7" w:rsidRPr="009158B7" w14:paraId="4811B995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23C2DE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Сеоска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подручја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B9CD9C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29.000</w:t>
            </w:r>
          </w:p>
        </w:tc>
      </w:tr>
    </w:tbl>
    <w:p w14:paraId="6B0966C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одобрења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."</w:t>
      </w:r>
    </w:p>
    <w:p w14:paraId="62B92F2B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2.</w:t>
      </w:r>
    </w:p>
    <w:p w14:paraId="75537217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".</w:t>
      </w:r>
    </w:p>
    <w:p w14:paraId="1D4CC4A8" w14:textId="77777777" w:rsidR="009158B7" w:rsidRPr="009158B7" w:rsidRDefault="009158B7" w:rsidP="009158B7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СКУПШТИНА ГРАДА ШАПЦА </w:t>
      </w:r>
    </w:p>
    <w:p w14:paraId="252134E1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 020-107/2013-14</w:t>
      </w:r>
    </w:p>
    <w:p w14:paraId="05F65909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ПРЕДСЕДНИК СКУПШТИНЕ</w:t>
      </w:r>
    </w:p>
    <w:p w14:paraId="56C251B6" w14:textId="77777777" w:rsidR="009158B7" w:rsidRPr="0000750C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0750C">
        <w:rPr>
          <w:rFonts w:ascii="Times New Roman" w:hAnsi="Times New Roman" w:cs="Times New Roman"/>
          <w:sz w:val="24"/>
          <w:szCs w:val="24"/>
          <w:lang w:val="ru-RU"/>
        </w:rPr>
        <w:t xml:space="preserve">Прим. др </w:t>
      </w:r>
      <w:r w:rsidRPr="0000750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Слободан Мирковић</w:t>
      </w:r>
      <w:r w:rsidRPr="0000750C">
        <w:rPr>
          <w:rFonts w:ascii="Times New Roman" w:hAnsi="Times New Roman" w:cs="Times New Roman"/>
          <w:sz w:val="24"/>
          <w:szCs w:val="24"/>
          <w:lang w:val="ru-RU"/>
        </w:rPr>
        <w:t>, с.р..</w:t>
      </w:r>
    </w:p>
    <w:p w14:paraId="77C589BB" w14:textId="77777777" w:rsidR="009158B7" w:rsidRPr="0000750C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7041CA3C" w14:textId="77777777" w:rsidR="009158B7" w:rsidRPr="0000750C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26F85104" w14:textId="77777777" w:rsidR="009158B7" w:rsidRPr="0000750C" w:rsidRDefault="009158B7" w:rsidP="009158B7">
      <w:pPr>
        <w:pStyle w:val="1tekst"/>
        <w:rPr>
          <w:rFonts w:ascii="Times New Roman" w:hAnsi="Times New Roman" w:cs="Times New Roman"/>
          <w:sz w:val="24"/>
          <w:szCs w:val="24"/>
          <w:lang w:val="ru-RU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1F48CB9D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4" w:name="zk25/13"/>
      <w:bookmarkEnd w:id="4"/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PC",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62/06, 47/11 и 93/12)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32. и 99.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32/08),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30.12.2013.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B8129D" w14:textId="77777777" w:rsidR="009158B7" w:rsidRPr="009158B7" w:rsidRDefault="009158B7" w:rsidP="009158B7">
      <w:pPr>
        <w:pStyle w:val="2zakon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Одлуку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изменама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допунама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Одлуке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локалним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комуналним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таксама</w:t>
      </w:r>
      <w:proofErr w:type="spellEnd"/>
    </w:p>
    <w:p w14:paraId="1EAEDCF1" w14:textId="77777777" w:rsidR="009158B7" w:rsidRPr="009158B7" w:rsidRDefault="009158B7" w:rsidP="009158B7">
      <w:pPr>
        <w:pStyle w:val="3mesto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Одлука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објављена</w:t>
      </w:r>
      <w:proofErr w:type="spellEnd"/>
      <w:r w:rsidRPr="009158B7">
        <w:rPr>
          <w:rFonts w:ascii="Times New Roman" w:hAnsi="Times New Roman" w:cs="Times New Roman"/>
        </w:rPr>
        <w:t xml:space="preserve"> у "</w:t>
      </w:r>
      <w:proofErr w:type="spellStart"/>
      <w:r w:rsidRPr="009158B7">
        <w:rPr>
          <w:rFonts w:ascii="Times New Roman" w:hAnsi="Times New Roman" w:cs="Times New Roman"/>
        </w:rPr>
        <w:t>Службеном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листу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града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Шапца</w:t>
      </w:r>
      <w:proofErr w:type="spellEnd"/>
      <w:r w:rsidRPr="009158B7">
        <w:rPr>
          <w:rFonts w:ascii="Times New Roman" w:hAnsi="Times New Roman" w:cs="Times New Roman"/>
        </w:rPr>
        <w:t xml:space="preserve">", </w:t>
      </w:r>
      <w:proofErr w:type="spellStart"/>
      <w:r w:rsidRPr="009158B7">
        <w:rPr>
          <w:rFonts w:ascii="Times New Roman" w:hAnsi="Times New Roman" w:cs="Times New Roman"/>
        </w:rPr>
        <w:t>бр</w:t>
      </w:r>
      <w:proofErr w:type="spellEnd"/>
      <w:r w:rsidRPr="009158B7">
        <w:rPr>
          <w:rFonts w:ascii="Times New Roman" w:hAnsi="Times New Roman" w:cs="Times New Roman"/>
        </w:rPr>
        <w:t xml:space="preserve">. 25/2013 </w:t>
      </w:r>
      <w:proofErr w:type="spellStart"/>
      <w:r w:rsidRPr="009158B7">
        <w:rPr>
          <w:rFonts w:ascii="Times New Roman" w:hAnsi="Times New Roman" w:cs="Times New Roman"/>
        </w:rPr>
        <w:t>од</w:t>
      </w:r>
      <w:proofErr w:type="spellEnd"/>
      <w:r w:rsidRPr="009158B7">
        <w:rPr>
          <w:rFonts w:ascii="Times New Roman" w:hAnsi="Times New Roman" w:cs="Times New Roman"/>
        </w:rPr>
        <w:t xml:space="preserve"> 30.12.2013. </w:t>
      </w:r>
      <w:proofErr w:type="spellStart"/>
      <w:r w:rsidRPr="009158B7">
        <w:rPr>
          <w:rFonts w:ascii="Times New Roman" w:hAnsi="Times New Roman" w:cs="Times New Roman"/>
        </w:rPr>
        <w:t>године</w:t>
      </w:r>
      <w:proofErr w:type="spellEnd"/>
      <w:r w:rsidRPr="009158B7">
        <w:rPr>
          <w:rFonts w:ascii="Times New Roman" w:hAnsi="Times New Roman" w:cs="Times New Roman"/>
        </w:rPr>
        <w:t xml:space="preserve">, а </w:t>
      </w:r>
      <w:proofErr w:type="spellStart"/>
      <w:r w:rsidRPr="009158B7">
        <w:rPr>
          <w:rFonts w:ascii="Times New Roman" w:hAnsi="Times New Roman" w:cs="Times New Roman"/>
        </w:rPr>
        <w:t>ступила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на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снагу</w:t>
      </w:r>
      <w:proofErr w:type="spellEnd"/>
      <w:r w:rsidRPr="009158B7">
        <w:rPr>
          <w:rFonts w:ascii="Times New Roman" w:hAnsi="Times New Roman" w:cs="Times New Roman"/>
        </w:rPr>
        <w:t xml:space="preserve"> 7.1.2014</w:t>
      </w:r>
      <w:r w:rsidRPr="009158B7">
        <w:rPr>
          <w:rFonts w:ascii="Times New Roman" w:hAnsi="Times New Roman" w:cs="Times New Roman"/>
          <w:lang w:val="hr-HR"/>
        </w:rPr>
        <w:t>.</w:t>
      </w:r>
      <w:r w:rsidRPr="009158B7">
        <w:rPr>
          <w:rFonts w:ascii="Times New Roman" w:hAnsi="Times New Roman" w:cs="Times New Roman"/>
        </w:rPr>
        <w:t xml:space="preserve"> и </w:t>
      </w:r>
      <w:hyperlink r:id="rId4" w:history="1">
        <w:r w:rsidRPr="009158B7">
          <w:rPr>
            <w:rStyle w:val="Hyperlink"/>
            <w:rFonts w:ascii="Times New Roman" w:hAnsi="Times New Roman" w:cs="Times New Roman"/>
          </w:rPr>
          <w:t>1/2014</w:t>
        </w:r>
      </w:hyperlink>
      <w:r w:rsidRPr="009158B7">
        <w:rPr>
          <w:rFonts w:ascii="Times New Roman" w:hAnsi="Times New Roman" w:cs="Times New Roman"/>
        </w:rPr>
        <w:t>.</w:t>
      </w:r>
    </w:p>
    <w:p w14:paraId="355EBD1A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bookmarkStart w:id="5" w:name="zk25/13-1"/>
      <w:bookmarkEnd w:id="5"/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1.</w:t>
      </w:r>
    </w:p>
    <w:p w14:paraId="0E896717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31/12, 10/13 и 17/13)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48448C43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инвалидитету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доњих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екстремитета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слепа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4. и 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глува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инвалидитета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војни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инвалиди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цивилни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инвалиди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остарили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ортопедски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додатак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оштећења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доњих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екстремитета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вишеструким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аутизма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обележених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паркиралиштима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издавању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."</w:t>
      </w:r>
    </w:p>
    <w:p w14:paraId="08C5B4F1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bookmarkStart w:id="6" w:name="zk25/13-2"/>
      <w:bookmarkEnd w:id="6"/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2.</w:t>
      </w:r>
    </w:p>
    <w:p w14:paraId="23BB49C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630A5B64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друмских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прикључних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1F60EE1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4"/>
        <w:gridCol w:w="690"/>
      </w:tblGrid>
      <w:tr w:rsidR="009158B7" w:rsidRPr="009158B7" w14:paraId="15059592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649A84E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E973A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1.570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0078ABD4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1247D0B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1ECBA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7FC4DABE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3064A0C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t 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78FE6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3.670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4B2CAC1D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3E08B65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487E9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5.240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472F4CFE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0BD39EC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путничке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аутомобиле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07F857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568C876A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7CA9794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путничка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C9F4E5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707E090D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6833CF5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A7052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35EFB543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2E2E2E0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A8E1E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1.050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71341F22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48098A5B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0D95A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1.570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57DFD7E6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779B3CE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7C7D4E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5D1D19AC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416A8618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A7240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3.150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67261F6A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406EB71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73FFB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5.240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5A49767D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3C90232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0A1CD3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06576FE5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4F53814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92C33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04943E38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636C5B0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ED66F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343E751B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4623A31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3389E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1.050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56ED93DE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5B1F4EE5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2288F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0D030B7F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734E9C9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D93640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1.570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60AC7551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48DCBD3C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аутобусе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бусеве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регистрованом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54862E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04712A15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531D7FC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прикључна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полуприколице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одређених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DBB45C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36990416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046816FD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t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46939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1F068126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273E9FFA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8C077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7FD03985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5795556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F994D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0206B6C1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723BAAB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10EAA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1.360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9158B7" w:rsidRPr="009158B7" w14:paraId="729AC29D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569DB28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t</w:t>
            </w:r>
          </w:p>
        </w:tc>
        <w:tc>
          <w:tcPr>
            <w:tcW w:w="0" w:type="auto"/>
            <w:vAlign w:val="center"/>
            <w:hideMark/>
          </w:tcPr>
          <w:p w14:paraId="7AD5AEA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31A9BDC4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362901D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вучна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тегљаче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14:paraId="5E3851DF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B7" w:rsidRPr="009158B7" w14:paraId="3C83D519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57E1D54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киловата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C0E7A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1.570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760BDF17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2892FB5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66-96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киловата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C141F3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06F87B96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407A711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96-132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киловата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50487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2.620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41EAF760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05A9DD1F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132-177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киловата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94A78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3.150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13402C7D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6E20ECD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177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киловата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2B2BE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  <w:tr w:rsidR="009158B7" w:rsidRPr="009158B7" w14:paraId="60B54769" w14:textId="77777777" w:rsidTr="009158B7">
        <w:trPr>
          <w:jc w:val="center"/>
        </w:trPr>
        <w:tc>
          <w:tcPr>
            <w:tcW w:w="10035" w:type="dxa"/>
            <w:vAlign w:val="center"/>
            <w:hideMark/>
          </w:tcPr>
          <w:p w14:paraId="1FF77CA6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путујуће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радње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атестирана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специјализована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превоз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75A7D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1.050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</w:tr>
    </w:tbl>
    <w:p w14:paraId="258172AB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3.</w:t>
      </w:r>
    </w:p>
    <w:p w14:paraId="7218D6B2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3DF15CEE" w14:textId="77777777" w:rsidR="009158B7" w:rsidRPr="009158B7" w:rsidRDefault="009158B7" w:rsidP="009158B7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СКУПШТИНА ГРАДА ШАПЦА </w:t>
      </w:r>
    </w:p>
    <w:p w14:paraId="6F86F072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 020-1583/2013-14</w:t>
      </w:r>
    </w:p>
    <w:p w14:paraId="26C34B63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ПРЕДСЕДНИК СКУПШТИНЕ</w:t>
      </w:r>
    </w:p>
    <w:p w14:paraId="2D2FE61D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Слободан</w:t>
      </w:r>
      <w:proofErr w:type="spellEnd"/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Мирковић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219BB583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6D8F274C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27E37E1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7" w:name="zk1/14"/>
      <w:bookmarkEnd w:id="7"/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сравњењу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изворним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штампању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Богатић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Владимирци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Коцељева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поткрала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даје</w:t>
      </w:r>
      <w:proofErr w:type="spellEnd"/>
    </w:p>
    <w:p w14:paraId="5D699013" w14:textId="77777777" w:rsidR="009158B7" w:rsidRPr="009158B7" w:rsidRDefault="009158B7" w:rsidP="009158B7">
      <w:pPr>
        <w:pStyle w:val="2zakon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Исправка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Одлуке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изменама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допунама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Одлуке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локалним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комуналним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таксама</w:t>
      </w:r>
      <w:proofErr w:type="spellEnd"/>
    </w:p>
    <w:p w14:paraId="35C90092" w14:textId="77777777" w:rsidR="009158B7" w:rsidRPr="009158B7" w:rsidRDefault="009158B7" w:rsidP="009158B7">
      <w:pPr>
        <w:pStyle w:val="3mesto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Исправка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објављена</w:t>
      </w:r>
      <w:proofErr w:type="spellEnd"/>
      <w:r w:rsidRPr="009158B7">
        <w:rPr>
          <w:rFonts w:ascii="Times New Roman" w:hAnsi="Times New Roman" w:cs="Times New Roman"/>
        </w:rPr>
        <w:t xml:space="preserve"> у "</w:t>
      </w:r>
      <w:proofErr w:type="spellStart"/>
      <w:r w:rsidRPr="009158B7">
        <w:rPr>
          <w:rFonts w:ascii="Times New Roman" w:hAnsi="Times New Roman" w:cs="Times New Roman"/>
        </w:rPr>
        <w:t>Службеном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листу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града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Шапца</w:t>
      </w:r>
      <w:proofErr w:type="spellEnd"/>
      <w:r w:rsidRPr="009158B7">
        <w:rPr>
          <w:rFonts w:ascii="Times New Roman" w:hAnsi="Times New Roman" w:cs="Times New Roman"/>
        </w:rPr>
        <w:t xml:space="preserve">", </w:t>
      </w:r>
      <w:proofErr w:type="spellStart"/>
      <w:r w:rsidRPr="009158B7">
        <w:rPr>
          <w:rFonts w:ascii="Times New Roman" w:hAnsi="Times New Roman" w:cs="Times New Roman"/>
        </w:rPr>
        <w:t>бр</w:t>
      </w:r>
      <w:proofErr w:type="spellEnd"/>
      <w:r w:rsidRPr="009158B7">
        <w:rPr>
          <w:rFonts w:ascii="Times New Roman" w:hAnsi="Times New Roman" w:cs="Times New Roman"/>
        </w:rPr>
        <w:t xml:space="preserve">. 1/2014 </w:t>
      </w:r>
      <w:proofErr w:type="spellStart"/>
      <w:r w:rsidRPr="009158B7">
        <w:rPr>
          <w:rFonts w:ascii="Times New Roman" w:hAnsi="Times New Roman" w:cs="Times New Roman"/>
        </w:rPr>
        <w:t>од</w:t>
      </w:r>
      <w:proofErr w:type="spellEnd"/>
      <w:r w:rsidRPr="009158B7">
        <w:rPr>
          <w:rFonts w:ascii="Times New Roman" w:hAnsi="Times New Roman" w:cs="Times New Roman"/>
        </w:rPr>
        <w:t xml:space="preserve"> 31.1.2014. </w:t>
      </w:r>
      <w:proofErr w:type="spellStart"/>
      <w:r w:rsidRPr="009158B7">
        <w:rPr>
          <w:rFonts w:ascii="Times New Roman" w:hAnsi="Times New Roman" w:cs="Times New Roman"/>
        </w:rPr>
        <w:t>године</w:t>
      </w:r>
      <w:proofErr w:type="spellEnd"/>
      <w:r w:rsidRPr="009158B7">
        <w:rPr>
          <w:rFonts w:ascii="Times New Roman" w:hAnsi="Times New Roman" w:cs="Times New Roman"/>
        </w:rPr>
        <w:t>.</w:t>
      </w:r>
    </w:p>
    <w:p w14:paraId="7B27A871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исправке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3B75FB3A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одштампаног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3833A36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"1)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9"/>
        <w:gridCol w:w="2105"/>
      </w:tblGrid>
      <w:tr w:rsidR="009158B7" w:rsidRPr="009158B7" w14:paraId="220AE85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011981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05729E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1.570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35A951AA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77F723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4DC5C8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1CF1D4D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3BAEAF97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92FC9D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3.670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01E54AE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47E6890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камионе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7E21DA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5.240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</w:tr>
    </w:tbl>
    <w:p w14:paraId="5476C42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4.)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одштампаног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6B4EE6E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"4.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мотоцикле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6"/>
        <w:gridCol w:w="2488"/>
      </w:tblGrid>
      <w:tr w:rsidR="009158B7" w:rsidRPr="009158B7" w14:paraId="6268C7B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4CFD5DB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015D6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2B486D23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68C2205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A5F0B7B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47D500E6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48FB082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773281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1.050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33B3F4C7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5190408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089E77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3182AD90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9C23CF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1.200 cm</w:t>
            </w: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A91B21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1.570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14:paraId="7D49285A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6.)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одштампаног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7A9E09FD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"6)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прикључна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приколице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полуприколице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приколице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2"/>
        <w:gridCol w:w="2542"/>
      </w:tblGrid>
      <w:tr w:rsidR="009158B7" w:rsidRPr="009158B7" w14:paraId="4F379BA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1BF23483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D533F9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5D44877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35AC7A9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AA5324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50A695EB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90E802E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584046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3E1D744C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21D24611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t1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D6D105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1.360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8B7" w:rsidRPr="009158B7" w14:paraId="52635B34" w14:textId="77777777" w:rsidTr="009158B7">
        <w:trPr>
          <w:jc w:val="center"/>
        </w:trPr>
        <w:tc>
          <w:tcPr>
            <w:tcW w:w="0" w:type="auto"/>
            <w:vAlign w:val="center"/>
            <w:hideMark/>
          </w:tcPr>
          <w:p w14:paraId="0B036C64" w14:textId="77777777" w:rsidR="009158B7" w:rsidRPr="009158B7" w:rsidRDefault="0091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носивости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t</w:t>
            </w:r>
          </w:p>
        </w:tc>
        <w:tc>
          <w:tcPr>
            <w:tcW w:w="0" w:type="auto"/>
            <w:vAlign w:val="center"/>
            <w:hideMark/>
          </w:tcPr>
          <w:p w14:paraId="1D61F792" w14:textId="77777777" w:rsidR="009158B7" w:rsidRPr="009158B7" w:rsidRDefault="009158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2.100 </w:t>
            </w:r>
            <w:proofErr w:type="spellStart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9158B7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</w:tr>
    </w:tbl>
    <w:p w14:paraId="48AEB873" w14:textId="77777777" w:rsidR="009158B7" w:rsidRPr="009158B7" w:rsidRDefault="009158B7" w:rsidP="009158B7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ГРАДСКА УПРАВА ГРАДА ШАБАЦ </w:t>
      </w:r>
    </w:p>
    <w:p w14:paraId="71E6F675" w14:textId="77777777" w:rsidR="009158B7" w:rsidRPr="009158B7" w:rsidRDefault="009158B7" w:rsidP="009158B7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b/>
          <w:bCs/>
          <w:sz w:val="24"/>
          <w:szCs w:val="24"/>
        </w:rPr>
        <w:t>ИЗ ОДЕЉЕЊА ЗА СКУПШТИНСКЕ И ЗАЈЕДНИЧКЕ ПОСЛОВЕ</w:t>
      </w:r>
    </w:p>
    <w:p w14:paraId="4489C8C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74E9930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3FBA479D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685A2461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8" w:name="zk33/16"/>
      <w:bookmarkEnd w:id="8"/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62/06, 47/11, 93/12, 99/13, 125/14, 95/15 и 83/16)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32. и 99.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32/08),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12.12.2016.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65328EFA" w14:textId="77777777" w:rsidR="009158B7" w:rsidRPr="009158B7" w:rsidRDefault="009158B7" w:rsidP="009158B7">
      <w:pPr>
        <w:pStyle w:val="2zakon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Одлуку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изменама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допунама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Одлуке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локалним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комуналним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таксама</w:t>
      </w:r>
      <w:proofErr w:type="spellEnd"/>
    </w:p>
    <w:p w14:paraId="5FA402AE" w14:textId="77777777" w:rsidR="009158B7" w:rsidRPr="009158B7" w:rsidRDefault="009158B7" w:rsidP="009158B7">
      <w:pPr>
        <w:pStyle w:val="3mesto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Одлука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објављена</w:t>
      </w:r>
      <w:proofErr w:type="spellEnd"/>
      <w:r w:rsidRPr="009158B7">
        <w:rPr>
          <w:rFonts w:ascii="Times New Roman" w:hAnsi="Times New Roman" w:cs="Times New Roman"/>
        </w:rPr>
        <w:t xml:space="preserve"> у "</w:t>
      </w:r>
      <w:proofErr w:type="spellStart"/>
      <w:r w:rsidRPr="009158B7">
        <w:rPr>
          <w:rFonts w:ascii="Times New Roman" w:hAnsi="Times New Roman" w:cs="Times New Roman"/>
        </w:rPr>
        <w:t>Службеном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листу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града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Шапца</w:t>
      </w:r>
      <w:proofErr w:type="spellEnd"/>
      <w:r w:rsidRPr="009158B7">
        <w:rPr>
          <w:rFonts w:ascii="Times New Roman" w:hAnsi="Times New Roman" w:cs="Times New Roman"/>
        </w:rPr>
        <w:t xml:space="preserve">", </w:t>
      </w:r>
      <w:proofErr w:type="spellStart"/>
      <w:r w:rsidRPr="009158B7">
        <w:rPr>
          <w:rFonts w:ascii="Times New Roman" w:hAnsi="Times New Roman" w:cs="Times New Roman"/>
        </w:rPr>
        <w:t>бр</w:t>
      </w:r>
      <w:proofErr w:type="spellEnd"/>
      <w:r w:rsidRPr="009158B7">
        <w:rPr>
          <w:rFonts w:ascii="Times New Roman" w:hAnsi="Times New Roman" w:cs="Times New Roman"/>
        </w:rPr>
        <w:t xml:space="preserve">. 33/2016 </w:t>
      </w:r>
      <w:proofErr w:type="spellStart"/>
      <w:r w:rsidRPr="009158B7">
        <w:rPr>
          <w:rFonts w:ascii="Times New Roman" w:hAnsi="Times New Roman" w:cs="Times New Roman"/>
        </w:rPr>
        <w:t>од</w:t>
      </w:r>
      <w:proofErr w:type="spellEnd"/>
      <w:r w:rsidRPr="009158B7">
        <w:rPr>
          <w:rFonts w:ascii="Times New Roman" w:hAnsi="Times New Roman" w:cs="Times New Roman"/>
        </w:rPr>
        <w:t xml:space="preserve"> 12.12.2016. </w:t>
      </w:r>
      <w:proofErr w:type="spellStart"/>
      <w:r w:rsidRPr="009158B7">
        <w:rPr>
          <w:rFonts w:ascii="Times New Roman" w:hAnsi="Times New Roman" w:cs="Times New Roman"/>
        </w:rPr>
        <w:t>године</w:t>
      </w:r>
      <w:proofErr w:type="spellEnd"/>
      <w:r w:rsidRPr="009158B7">
        <w:rPr>
          <w:rFonts w:ascii="Times New Roman" w:hAnsi="Times New Roman" w:cs="Times New Roman"/>
        </w:rPr>
        <w:t xml:space="preserve">, а </w:t>
      </w:r>
      <w:proofErr w:type="spellStart"/>
      <w:r w:rsidRPr="009158B7">
        <w:rPr>
          <w:rFonts w:ascii="Times New Roman" w:hAnsi="Times New Roman" w:cs="Times New Roman"/>
        </w:rPr>
        <w:t>ступила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на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снагу</w:t>
      </w:r>
      <w:proofErr w:type="spellEnd"/>
      <w:r w:rsidRPr="009158B7">
        <w:rPr>
          <w:rFonts w:ascii="Times New Roman" w:hAnsi="Times New Roman" w:cs="Times New Roman"/>
        </w:rPr>
        <w:t xml:space="preserve"> 20.12.2016.</w:t>
      </w:r>
    </w:p>
    <w:p w14:paraId="3207C2B3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bookmarkStart w:id="9" w:name="zk33/16-1"/>
      <w:bookmarkEnd w:id="9"/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1.</w:t>
      </w:r>
    </w:p>
    <w:p w14:paraId="6EC51FA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31/12, 10/13 и 17/13)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1B5CF0BD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1, 2, 3, 4, 5, 6, 7 и 8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наплаћује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ЈКП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Шабац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78C41D3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ЈКП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уплаћивати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дневно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уплатни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AC61A36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2.</w:t>
      </w:r>
    </w:p>
    <w:p w14:paraId="5CE86C4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".</w:t>
      </w:r>
    </w:p>
    <w:p w14:paraId="5B8F81EA" w14:textId="77777777" w:rsidR="009158B7" w:rsidRPr="009158B7" w:rsidRDefault="009158B7" w:rsidP="009158B7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b/>
          <w:bCs/>
          <w:sz w:val="24"/>
          <w:szCs w:val="24"/>
        </w:rPr>
        <w:t>СКУПШТИНА ГРАДА ШАПЦА</w:t>
      </w:r>
    </w:p>
    <w:p w14:paraId="2B77D3D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 020-185/2016-14</w:t>
      </w:r>
    </w:p>
    <w:p w14:paraId="2F068CD0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ПРЕДСЕДНИК СКУПШТИНЕ</w:t>
      </w:r>
    </w:p>
    <w:p w14:paraId="2954D9C3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Немања</w:t>
      </w:r>
      <w:proofErr w:type="spellEnd"/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Пајић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732CB48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32AD60E6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406B25EE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0" w:name="zk5/17"/>
      <w:bookmarkEnd w:id="10"/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62/06, 47/11, 93/12, 99/13, 125/14, 95/15, 83/16, 91/16 и 104/16)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32. и 99.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Статута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32/08, 33/16),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1.03.2017.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699AF526" w14:textId="77777777" w:rsidR="009158B7" w:rsidRPr="009158B7" w:rsidRDefault="009158B7" w:rsidP="009158B7">
      <w:pPr>
        <w:pStyle w:val="2zakon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Одлуку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изменама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допунама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Одлуке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локалним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комуналним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таксама</w:t>
      </w:r>
      <w:proofErr w:type="spellEnd"/>
    </w:p>
    <w:p w14:paraId="78BB9CE6" w14:textId="77777777" w:rsidR="009158B7" w:rsidRPr="009158B7" w:rsidRDefault="009158B7" w:rsidP="009158B7">
      <w:pPr>
        <w:pStyle w:val="3mesto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Одлука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објављена</w:t>
      </w:r>
      <w:proofErr w:type="spellEnd"/>
      <w:r w:rsidRPr="009158B7">
        <w:rPr>
          <w:rFonts w:ascii="Times New Roman" w:hAnsi="Times New Roman" w:cs="Times New Roman"/>
        </w:rPr>
        <w:t xml:space="preserve"> у "</w:t>
      </w:r>
      <w:proofErr w:type="spellStart"/>
      <w:r w:rsidRPr="009158B7">
        <w:rPr>
          <w:rFonts w:ascii="Times New Roman" w:hAnsi="Times New Roman" w:cs="Times New Roman"/>
        </w:rPr>
        <w:t>Службеном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листу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града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Шапца</w:t>
      </w:r>
      <w:proofErr w:type="spellEnd"/>
      <w:r w:rsidRPr="009158B7">
        <w:rPr>
          <w:rFonts w:ascii="Times New Roman" w:hAnsi="Times New Roman" w:cs="Times New Roman"/>
        </w:rPr>
        <w:t xml:space="preserve">", </w:t>
      </w:r>
      <w:proofErr w:type="spellStart"/>
      <w:r w:rsidRPr="009158B7">
        <w:rPr>
          <w:rFonts w:ascii="Times New Roman" w:hAnsi="Times New Roman" w:cs="Times New Roman"/>
        </w:rPr>
        <w:t>бр</w:t>
      </w:r>
      <w:proofErr w:type="spellEnd"/>
      <w:r w:rsidRPr="009158B7">
        <w:rPr>
          <w:rFonts w:ascii="Times New Roman" w:hAnsi="Times New Roman" w:cs="Times New Roman"/>
        </w:rPr>
        <w:t xml:space="preserve">. 5/2017 </w:t>
      </w:r>
      <w:proofErr w:type="spellStart"/>
      <w:r w:rsidRPr="009158B7">
        <w:rPr>
          <w:rFonts w:ascii="Times New Roman" w:hAnsi="Times New Roman" w:cs="Times New Roman"/>
        </w:rPr>
        <w:t>од</w:t>
      </w:r>
      <w:proofErr w:type="spellEnd"/>
      <w:r w:rsidRPr="009158B7">
        <w:rPr>
          <w:rFonts w:ascii="Times New Roman" w:hAnsi="Times New Roman" w:cs="Times New Roman"/>
        </w:rPr>
        <w:t xml:space="preserve"> 1.3.2017. </w:t>
      </w:r>
      <w:proofErr w:type="spellStart"/>
      <w:r w:rsidRPr="009158B7">
        <w:rPr>
          <w:rFonts w:ascii="Times New Roman" w:hAnsi="Times New Roman" w:cs="Times New Roman"/>
        </w:rPr>
        <w:t>године</w:t>
      </w:r>
      <w:proofErr w:type="spellEnd"/>
      <w:r w:rsidRPr="009158B7">
        <w:rPr>
          <w:rFonts w:ascii="Times New Roman" w:hAnsi="Times New Roman" w:cs="Times New Roman"/>
        </w:rPr>
        <w:t xml:space="preserve">, а </w:t>
      </w:r>
      <w:proofErr w:type="spellStart"/>
      <w:r w:rsidRPr="009158B7">
        <w:rPr>
          <w:rFonts w:ascii="Times New Roman" w:hAnsi="Times New Roman" w:cs="Times New Roman"/>
        </w:rPr>
        <w:t>ступила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на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снагу</w:t>
      </w:r>
      <w:proofErr w:type="spellEnd"/>
      <w:r w:rsidRPr="009158B7">
        <w:rPr>
          <w:rFonts w:ascii="Times New Roman" w:hAnsi="Times New Roman" w:cs="Times New Roman"/>
        </w:rPr>
        <w:t xml:space="preserve"> 9.3.2017.</w:t>
      </w:r>
    </w:p>
    <w:p w14:paraId="507F2B8D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bookmarkStart w:id="11" w:name="zk5/17-1"/>
      <w:bookmarkEnd w:id="11"/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1.</w:t>
      </w:r>
    </w:p>
    <w:p w14:paraId="39B68DC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31/12, 10/13, 17/13, 25/13 и 33/16)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5.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5.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брише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2B69BEB2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2.</w:t>
      </w:r>
    </w:p>
    <w:p w14:paraId="12C57D5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".</w:t>
      </w:r>
    </w:p>
    <w:p w14:paraId="3D675CA9" w14:textId="77777777" w:rsidR="009158B7" w:rsidRPr="009158B7" w:rsidRDefault="009158B7" w:rsidP="009158B7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b/>
          <w:bCs/>
          <w:sz w:val="24"/>
          <w:szCs w:val="24"/>
        </w:rPr>
        <w:t>СКУПШТИНА ГРАДА ШАПЦА</w:t>
      </w:r>
    </w:p>
    <w:p w14:paraId="415A8D3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 020-37/17-14</w:t>
      </w:r>
    </w:p>
    <w:p w14:paraId="49E97929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ПРЕДСЕДНИК СКУПШТИНЕ</w:t>
      </w:r>
    </w:p>
    <w:p w14:paraId="1CD9FA7B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Немања</w:t>
      </w:r>
      <w:proofErr w:type="spellEnd"/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Пајић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16AF954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2FEBF1A5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09A2109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2" w:name="zk9/17"/>
      <w:bookmarkEnd w:id="12"/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11. и 15.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62/06, 47/11, 93/12, 99/13, 125/14, 95/15, 83/16, 91/16 и 104/16)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32. и 99.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32/08 и 33/16),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19.04.2017.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29638644" w14:textId="77777777" w:rsidR="009158B7" w:rsidRPr="009158B7" w:rsidRDefault="009158B7" w:rsidP="009158B7">
      <w:pPr>
        <w:pStyle w:val="2zakon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Одлуку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изменама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допунама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Одлуке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локалним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комуналним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таксама</w:t>
      </w:r>
      <w:proofErr w:type="spellEnd"/>
    </w:p>
    <w:p w14:paraId="6A229985" w14:textId="77777777" w:rsidR="009158B7" w:rsidRPr="009158B7" w:rsidRDefault="009158B7" w:rsidP="009158B7">
      <w:pPr>
        <w:pStyle w:val="3mesto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Одлука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објављена</w:t>
      </w:r>
      <w:proofErr w:type="spellEnd"/>
      <w:r w:rsidRPr="009158B7">
        <w:rPr>
          <w:rFonts w:ascii="Times New Roman" w:hAnsi="Times New Roman" w:cs="Times New Roman"/>
        </w:rPr>
        <w:t xml:space="preserve"> у "</w:t>
      </w:r>
      <w:proofErr w:type="spellStart"/>
      <w:r w:rsidRPr="009158B7">
        <w:rPr>
          <w:rFonts w:ascii="Times New Roman" w:hAnsi="Times New Roman" w:cs="Times New Roman"/>
        </w:rPr>
        <w:t>Службеном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листу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града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Шапца</w:t>
      </w:r>
      <w:proofErr w:type="spellEnd"/>
      <w:r w:rsidRPr="009158B7">
        <w:rPr>
          <w:rFonts w:ascii="Times New Roman" w:hAnsi="Times New Roman" w:cs="Times New Roman"/>
        </w:rPr>
        <w:t xml:space="preserve">", </w:t>
      </w:r>
      <w:proofErr w:type="spellStart"/>
      <w:r w:rsidRPr="009158B7">
        <w:rPr>
          <w:rFonts w:ascii="Times New Roman" w:hAnsi="Times New Roman" w:cs="Times New Roman"/>
        </w:rPr>
        <w:t>бр</w:t>
      </w:r>
      <w:proofErr w:type="spellEnd"/>
      <w:r w:rsidRPr="009158B7">
        <w:rPr>
          <w:rFonts w:ascii="Times New Roman" w:hAnsi="Times New Roman" w:cs="Times New Roman"/>
        </w:rPr>
        <w:t xml:space="preserve">. 9/2017 </w:t>
      </w:r>
      <w:proofErr w:type="spellStart"/>
      <w:r w:rsidRPr="009158B7">
        <w:rPr>
          <w:rFonts w:ascii="Times New Roman" w:hAnsi="Times New Roman" w:cs="Times New Roman"/>
        </w:rPr>
        <w:t>од</w:t>
      </w:r>
      <w:proofErr w:type="spellEnd"/>
      <w:r w:rsidRPr="009158B7">
        <w:rPr>
          <w:rFonts w:ascii="Times New Roman" w:hAnsi="Times New Roman" w:cs="Times New Roman"/>
        </w:rPr>
        <w:t xml:space="preserve"> 19.4.2017. </w:t>
      </w:r>
      <w:proofErr w:type="spellStart"/>
      <w:r w:rsidRPr="009158B7">
        <w:rPr>
          <w:rFonts w:ascii="Times New Roman" w:hAnsi="Times New Roman" w:cs="Times New Roman"/>
        </w:rPr>
        <w:t>године</w:t>
      </w:r>
      <w:proofErr w:type="spellEnd"/>
      <w:r w:rsidRPr="009158B7">
        <w:rPr>
          <w:rFonts w:ascii="Times New Roman" w:hAnsi="Times New Roman" w:cs="Times New Roman"/>
        </w:rPr>
        <w:t xml:space="preserve">, а </w:t>
      </w:r>
      <w:proofErr w:type="spellStart"/>
      <w:r w:rsidRPr="009158B7">
        <w:rPr>
          <w:rFonts w:ascii="Times New Roman" w:hAnsi="Times New Roman" w:cs="Times New Roman"/>
        </w:rPr>
        <w:t>ступила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на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снагу</w:t>
      </w:r>
      <w:proofErr w:type="spellEnd"/>
      <w:r w:rsidRPr="009158B7">
        <w:rPr>
          <w:rFonts w:ascii="Times New Roman" w:hAnsi="Times New Roman" w:cs="Times New Roman"/>
        </w:rPr>
        <w:t xml:space="preserve"> 27.4.2017. </w:t>
      </w:r>
      <w:proofErr w:type="spellStart"/>
      <w:r w:rsidRPr="009158B7">
        <w:rPr>
          <w:rFonts w:ascii="Times New Roman" w:hAnsi="Times New Roman" w:cs="Times New Roman"/>
        </w:rPr>
        <w:t>године</w:t>
      </w:r>
      <w:proofErr w:type="spellEnd"/>
      <w:r w:rsidRPr="009158B7">
        <w:rPr>
          <w:rFonts w:ascii="Times New Roman" w:hAnsi="Times New Roman" w:cs="Times New Roman"/>
        </w:rPr>
        <w:t>.</w:t>
      </w:r>
    </w:p>
    <w:p w14:paraId="4C6873B5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bookmarkStart w:id="13" w:name="zk9/17-1"/>
      <w:bookmarkEnd w:id="13"/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1.</w:t>
      </w:r>
    </w:p>
    <w:p w14:paraId="5E2BD24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31/12, 10/13, 17/13, 25/13, 33/16 и 5/17)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"6."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522EBA5E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"6.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пролаз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заустављање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снабдевања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забрањеној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одобрења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режиму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Шабац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65B09A6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320AE6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1.000,00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7D03DE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3.000,00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AE28FA4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пролаз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заустављање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10AD7B8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A694BCD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48DDC2D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теретна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14488F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наплаћује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комунално-стамбене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2D47EED5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обележеног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стајалишта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дневно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13,00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BA23F9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правио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регистровано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A6D5D83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."</w:t>
      </w:r>
    </w:p>
    <w:p w14:paraId="30A96181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2.</w:t>
      </w:r>
    </w:p>
    <w:p w14:paraId="6D0E4F74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".</w:t>
      </w:r>
    </w:p>
    <w:p w14:paraId="590AFAD1" w14:textId="77777777" w:rsidR="009158B7" w:rsidRPr="009158B7" w:rsidRDefault="009158B7" w:rsidP="009158B7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b/>
          <w:bCs/>
          <w:sz w:val="24"/>
          <w:szCs w:val="24"/>
        </w:rPr>
        <w:t>СКУПШТИНА ГРАДА ШАПЦА</w:t>
      </w:r>
    </w:p>
    <w:p w14:paraId="1545108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 020-76/2017-14</w:t>
      </w:r>
    </w:p>
    <w:p w14:paraId="1596B98C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ПРЕДСЕДНИК СКУПШТИНЕ</w:t>
      </w:r>
    </w:p>
    <w:p w14:paraId="5258E86E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Немања</w:t>
      </w:r>
      <w:proofErr w:type="spellEnd"/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Пајић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37D9A31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3353A9F7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2BAC2A12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06D6B701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4" w:name="zk21/17"/>
      <w:bookmarkEnd w:id="14"/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62/06, 47/11 и 93/12)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32. и 99.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32/08, 33/16),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14.09.2017.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76375942" w14:textId="77777777" w:rsidR="009158B7" w:rsidRPr="009158B7" w:rsidRDefault="009158B7" w:rsidP="009158B7">
      <w:pPr>
        <w:pStyle w:val="2zakon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Одлуку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изменама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допунама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Одлуке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локалним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комуналним</w:t>
      </w:r>
      <w:proofErr w:type="spellEnd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таксама</w:t>
      </w:r>
      <w:proofErr w:type="spellEnd"/>
    </w:p>
    <w:p w14:paraId="44682626" w14:textId="77777777" w:rsidR="009158B7" w:rsidRPr="009158B7" w:rsidRDefault="009158B7" w:rsidP="009158B7">
      <w:pPr>
        <w:pStyle w:val="3mesto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Одлука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објављена</w:t>
      </w:r>
      <w:proofErr w:type="spellEnd"/>
      <w:r w:rsidRPr="009158B7">
        <w:rPr>
          <w:rFonts w:ascii="Times New Roman" w:hAnsi="Times New Roman" w:cs="Times New Roman"/>
        </w:rPr>
        <w:t xml:space="preserve"> у "</w:t>
      </w:r>
      <w:proofErr w:type="spellStart"/>
      <w:r w:rsidRPr="009158B7">
        <w:rPr>
          <w:rFonts w:ascii="Times New Roman" w:hAnsi="Times New Roman" w:cs="Times New Roman"/>
        </w:rPr>
        <w:t>Службеном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листу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града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Шапца</w:t>
      </w:r>
      <w:proofErr w:type="spellEnd"/>
      <w:r w:rsidRPr="009158B7">
        <w:rPr>
          <w:rFonts w:ascii="Times New Roman" w:hAnsi="Times New Roman" w:cs="Times New Roman"/>
        </w:rPr>
        <w:t xml:space="preserve">", </w:t>
      </w:r>
      <w:proofErr w:type="spellStart"/>
      <w:r w:rsidRPr="009158B7">
        <w:rPr>
          <w:rFonts w:ascii="Times New Roman" w:hAnsi="Times New Roman" w:cs="Times New Roman"/>
        </w:rPr>
        <w:t>бр</w:t>
      </w:r>
      <w:proofErr w:type="spellEnd"/>
      <w:r w:rsidRPr="009158B7">
        <w:rPr>
          <w:rFonts w:ascii="Times New Roman" w:hAnsi="Times New Roman" w:cs="Times New Roman"/>
        </w:rPr>
        <w:t xml:space="preserve">. 21/2017 </w:t>
      </w:r>
      <w:proofErr w:type="spellStart"/>
      <w:r w:rsidRPr="009158B7">
        <w:rPr>
          <w:rFonts w:ascii="Times New Roman" w:hAnsi="Times New Roman" w:cs="Times New Roman"/>
        </w:rPr>
        <w:t>од</w:t>
      </w:r>
      <w:proofErr w:type="spellEnd"/>
      <w:r w:rsidRPr="009158B7">
        <w:rPr>
          <w:rFonts w:ascii="Times New Roman" w:hAnsi="Times New Roman" w:cs="Times New Roman"/>
        </w:rPr>
        <w:t xml:space="preserve"> 14.9.2017. </w:t>
      </w:r>
      <w:proofErr w:type="spellStart"/>
      <w:r w:rsidRPr="009158B7">
        <w:rPr>
          <w:rFonts w:ascii="Times New Roman" w:hAnsi="Times New Roman" w:cs="Times New Roman"/>
        </w:rPr>
        <w:t>године</w:t>
      </w:r>
      <w:proofErr w:type="spellEnd"/>
      <w:r w:rsidRPr="009158B7">
        <w:rPr>
          <w:rFonts w:ascii="Times New Roman" w:hAnsi="Times New Roman" w:cs="Times New Roman"/>
        </w:rPr>
        <w:t xml:space="preserve">, а </w:t>
      </w:r>
      <w:proofErr w:type="spellStart"/>
      <w:r w:rsidRPr="009158B7">
        <w:rPr>
          <w:rFonts w:ascii="Times New Roman" w:hAnsi="Times New Roman" w:cs="Times New Roman"/>
        </w:rPr>
        <w:t>ступила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је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на</w:t>
      </w:r>
      <w:proofErr w:type="spellEnd"/>
      <w:r w:rsidRPr="009158B7">
        <w:rPr>
          <w:rFonts w:ascii="Times New Roman" w:hAnsi="Times New Roman" w:cs="Times New Roman"/>
        </w:rPr>
        <w:t xml:space="preserve"> </w:t>
      </w:r>
      <w:proofErr w:type="spellStart"/>
      <w:r w:rsidRPr="009158B7">
        <w:rPr>
          <w:rFonts w:ascii="Times New Roman" w:hAnsi="Times New Roman" w:cs="Times New Roman"/>
        </w:rPr>
        <w:t>снагу</w:t>
      </w:r>
      <w:proofErr w:type="spellEnd"/>
      <w:r w:rsidRPr="009158B7">
        <w:rPr>
          <w:rFonts w:ascii="Times New Roman" w:hAnsi="Times New Roman" w:cs="Times New Roman"/>
        </w:rPr>
        <w:t xml:space="preserve"> 22.9.2017.</w:t>
      </w:r>
    </w:p>
    <w:p w14:paraId="6A8C4C4E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bookmarkStart w:id="15" w:name="zk21/17-1"/>
      <w:bookmarkEnd w:id="15"/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1.</w:t>
      </w:r>
    </w:p>
    <w:p w14:paraId="235837A3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Тарифни</w:t>
      </w:r>
      <w:proofErr w:type="spellEnd"/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</w:t>
      </w:r>
    </w:p>
    <w:p w14:paraId="0A5B1FE4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2.500,00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4E31FBA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рачунарима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симулаторима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видео-аутоматима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флиперима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сличним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направама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погон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жетона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пикадо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билијар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сличне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добитак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новцу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бесплатних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84521B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Утврђивање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-</w:t>
      </w:r>
      <w:r w:rsidRPr="009158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администрације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."</w:t>
      </w:r>
    </w:p>
    <w:p w14:paraId="0F2B996A" w14:textId="77777777" w:rsidR="009158B7" w:rsidRPr="009158B7" w:rsidRDefault="009158B7" w:rsidP="009158B7">
      <w:pPr>
        <w:pStyle w:val="4clan"/>
        <w:rPr>
          <w:rFonts w:ascii="Times New Roman" w:hAnsi="Times New Roman" w:cs="Times New Roman"/>
        </w:rPr>
      </w:pPr>
      <w:proofErr w:type="spellStart"/>
      <w:r w:rsidRPr="009158B7">
        <w:rPr>
          <w:rFonts w:ascii="Times New Roman" w:hAnsi="Times New Roman" w:cs="Times New Roman"/>
        </w:rPr>
        <w:t>Члан</w:t>
      </w:r>
      <w:proofErr w:type="spellEnd"/>
      <w:r w:rsidRPr="009158B7">
        <w:rPr>
          <w:rFonts w:ascii="Times New Roman" w:hAnsi="Times New Roman" w:cs="Times New Roman"/>
        </w:rPr>
        <w:t xml:space="preserve"> 2.</w:t>
      </w:r>
    </w:p>
    <w:p w14:paraId="16A93DDE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".</w:t>
      </w:r>
    </w:p>
    <w:p w14:paraId="75B736A0" w14:textId="77777777" w:rsidR="009158B7" w:rsidRPr="009158B7" w:rsidRDefault="009158B7" w:rsidP="009158B7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b/>
          <w:bCs/>
          <w:sz w:val="24"/>
          <w:szCs w:val="24"/>
        </w:rPr>
        <w:t>СКУПШТИНА ГРАДА ШАПЦА</w:t>
      </w:r>
    </w:p>
    <w:p w14:paraId="10B7952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: 020-176/2017-14</w:t>
      </w:r>
    </w:p>
    <w:p w14:paraId="6DE2E5B1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ПРЕДСЕДНИК СКУПШТИНЕ</w:t>
      </w:r>
    </w:p>
    <w:p w14:paraId="3492AB4A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Немања</w:t>
      </w:r>
      <w:proofErr w:type="spellEnd"/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Пајић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9C2169D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25EA71FC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2E23883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6" w:name="zk94/18"/>
      <w:bookmarkEnd w:id="16"/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Прелић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Бабић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Братислав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Ђокић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Коларић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Тамаш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Корхец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Korhecz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Tamás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Станић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Сабахудин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Тахировић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Ћирић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Шкулић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Шурлан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167.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одржаноj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242DA49C" w14:textId="77777777" w:rsidR="009158B7" w:rsidRPr="009158B7" w:rsidRDefault="009158B7" w:rsidP="009158B7">
      <w:pPr>
        <w:pStyle w:val="2zakon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158B7">
        <w:rPr>
          <w:rFonts w:ascii="Times New Roman" w:hAnsi="Times New Roman" w:cs="Times New Roman"/>
          <w:b/>
          <w:color w:val="auto"/>
          <w:sz w:val="28"/>
          <w:szCs w:val="28"/>
        </w:rPr>
        <w:t>Одлуку</w:t>
      </w:r>
      <w:proofErr w:type="spellEnd"/>
    </w:p>
    <w:p w14:paraId="0610CD77" w14:textId="77777777" w:rsidR="009158B7" w:rsidRPr="002D70B9" w:rsidRDefault="009158B7" w:rsidP="009158B7">
      <w:pPr>
        <w:pStyle w:val="3mesto"/>
        <w:rPr>
          <w:rFonts w:ascii="Times New Roman" w:hAnsi="Times New Roman" w:cs="Times New Roman"/>
          <w:b/>
        </w:rPr>
      </w:pPr>
      <w:proofErr w:type="spellStart"/>
      <w:r w:rsidRPr="002D70B9">
        <w:rPr>
          <w:rFonts w:ascii="Times New Roman" w:hAnsi="Times New Roman" w:cs="Times New Roman"/>
          <w:b/>
        </w:rPr>
        <w:t>Одлука</w:t>
      </w:r>
      <w:proofErr w:type="spellEnd"/>
      <w:r w:rsidRPr="002D70B9">
        <w:rPr>
          <w:rFonts w:ascii="Times New Roman" w:hAnsi="Times New Roman" w:cs="Times New Roman"/>
          <w:b/>
        </w:rPr>
        <w:t xml:space="preserve"> </w:t>
      </w:r>
      <w:proofErr w:type="spellStart"/>
      <w:r w:rsidRPr="002D70B9">
        <w:rPr>
          <w:rFonts w:ascii="Times New Roman" w:hAnsi="Times New Roman" w:cs="Times New Roman"/>
          <w:b/>
        </w:rPr>
        <w:t>је</w:t>
      </w:r>
      <w:proofErr w:type="spellEnd"/>
      <w:r w:rsidRPr="002D70B9">
        <w:rPr>
          <w:rFonts w:ascii="Times New Roman" w:hAnsi="Times New Roman" w:cs="Times New Roman"/>
          <w:b/>
        </w:rPr>
        <w:t xml:space="preserve"> </w:t>
      </w:r>
      <w:proofErr w:type="spellStart"/>
      <w:r w:rsidRPr="002D70B9">
        <w:rPr>
          <w:rFonts w:ascii="Times New Roman" w:hAnsi="Times New Roman" w:cs="Times New Roman"/>
          <w:b/>
        </w:rPr>
        <w:t>објављена</w:t>
      </w:r>
      <w:proofErr w:type="spellEnd"/>
      <w:r w:rsidRPr="002D70B9">
        <w:rPr>
          <w:rFonts w:ascii="Times New Roman" w:hAnsi="Times New Roman" w:cs="Times New Roman"/>
          <w:b/>
        </w:rPr>
        <w:t xml:space="preserve"> у "</w:t>
      </w:r>
      <w:proofErr w:type="spellStart"/>
      <w:r w:rsidRPr="002D70B9">
        <w:rPr>
          <w:rFonts w:ascii="Times New Roman" w:hAnsi="Times New Roman" w:cs="Times New Roman"/>
          <w:b/>
        </w:rPr>
        <w:t>Службеном</w:t>
      </w:r>
      <w:proofErr w:type="spellEnd"/>
      <w:r w:rsidRPr="002D70B9">
        <w:rPr>
          <w:rFonts w:ascii="Times New Roman" w:hAnsi="Times New Roman" w:cs="Times New Roman"/>
          <w:b/>
        </w:rPr>
        <w:t xml:space="preserve"> </w:t>
      </w:r>
      <w:proofErr w:type="spellStart"/>
      <w:r w:rsidRPr="002D70B9">
        <w:rPr>
          <w:rFonts w:ascii="Times New Roman" w:hAnsi="Times New Roman" w:cs="Times New Roman"/>
          <w:b/>
        </w:rPr>
        <w:t>гласнику</w:t>
      </w:r>
      <w:proofErr w:type="spellEnd"/>
      <w:r w:rsidRPr="002D70B9">
        <w:rPr>
          <w:rFonts w:ascii="Times New Roman" w:hAnsi="Times New Roman" w:cs="Times New Roman"/>
          <w:b/>
        </w:rPr>
        <w:t xml:space="preserve"> РС", </w:t>
      </w:r>
      <w:proofErr w:type="spellStart"/>
      <w:r w:rsidRPr="002D70B9">
        <w:rPr>
          <w:rFonts w:ascii="Times New Roman" w:hAnsi="Times New Roman" w:cs="Times New Roman"/>
          <w:b/>
        </w:rPr>
        <w:t>бр</w:t>
      </w:r>
      <w:proofErr w:type="spellEnd"/>
      <w:r w:rsidRPr="002D70B9">
        <w:rPr>
          <w:rFonts w:ascii="Times New Roman" w:hAnsi="Times New Roman" w:cs="Times New Roman"/>
          <w:b/>
        </w:rPr>
        <w:t xml:space="preserve">. 94/2018 </w:t>
      </w:r>
      <w:proofErr w:type="spellStart"/>
      <w:r w:rsidRPr="002D70B9">
        <w:rPr>
          <w:rFonts w:ascii="Times New Roman" w:hAnsi="Times New Roman" w:cs="Times New Roman"/>
          <w:b/>
        </w:rPr>
        <w:t>од</w:t>
      </w:r>
      <w:proofErr w:type="spellEnd"/>
      <w:r w:rsidRPr="002D70B9">
        <w:rPr>
          <w:rFonts w:ascii="Times New Roman" w:hAnsi="Times New Roman" w:cs="Times New Roman"/>
          <w:b/>
        </w:rPr>
        <w:t xml:space="preserve"> 7.12.2018. </w:t>
      </w:r>
      <w:proofErr w:type="spellStart"/>
      <w:r w:rsidRPr="002D70B9">
        <w:rPr>
          <w:rFonts w:ascii="Times New Roman" w:hAnsi="Times New Roman" w:cs="Times New Roman"/>
          <w:b/>
        </w:rPr>
        <w:t>године</w:t>
      </w:r>
      <w:proofErr w:type="spellEnd"/>
      <w:r w:rsidRPr="002D70B9">
        <w:rPr>
          <w:rFonts w:ascii="Times New Roman" w:hAnsi="Times New Roman" w:cs="Times New Roman"/>
          <w:b/>
        </w:rPr>
        <w:t xml:space="preserve"> и "</w:t>
      </w:r>
      <w:proofErr w:type="spellStart"/>
      <w:r w:rsidRPr="002D70B9">
        <w:rPr>
          <w:rFonts w:ascii="Times New Roman" w:hAnsi="Times New Roman" w:cs="Times New Roman"/>
          <w:b/>
        </w:rPr>
        <w:t>Службеном</w:t>
      </w:r>
      <w:proofErr w:type="spellEnd"/>
      <w:r w:rsidRPr="002D70B9">
        <w:rPr>
          <w:rFonts w:ascii="Times New Roman" w:hAnsi="Times New Roman" w:cs="Times New Roman"/>
          <w:b/>
        </w:rPr>
        <w:t xml:space="preserve"> </w:t>
      </w:r>
      <w:proofErr w:type="spellStart"/>
      <w:r w:rsidRPr="002D70B9">
        <w:rPr>
          <w:rFonts w:ascii="Times New Roman" w:hAnsi="Times New Roman" w:cs="Times New Roman"/>
          <w:b/>
        </w:rPr>
        <w:t>листу</w:t>
      </w:r>
      <w:proofErr w:type="spellEnd"/>
      <w:r w:rsidRPr="002D70B9">
        <w:rPr>
          <w:rFonts w:ascii="Times New Roman" w:hAnsi="Times New Roman" w:cs="Times New Roman"/>
          <w:b/>
        </w:rPr>
        <w:t xml:space="preserve"> </w:t>
      </w:r>
      <w:proofErr w:type="spellStart"/>
      <w:r w:rsidRPr="002D70B9">
        <w:rPr>
          <w:rFonts w:ascii="Times New Roman" w:hAnsi="Times New Roman" w:cs="Times New Roman"/>
          <w:b/>
        </w:rPr>
        <w:t>града</w:t>
      </w:r>
      <w:proofErr w:type="spellEnd"/>
      <w:r w:rsidRPr="002D70B9">
        <w:rPr>
          <w:rFonts w:ascii="Times New Roman" w:hAnsi="Times New Roman" w:cs="Times New Roman"/>
          <w:b/>
        </w:rPr>
        <w:t xml:space="preserve"> </w:t>
      </w:r>
      <w:proofErr w:type="spellStart"/>
      <w:r w:rsidRPr="002D70B9">
        <w:rPr>
          <w:rFonts w:ascii="Times New Roman" w:hAnsi="Times New Roman" w:cs="Times New Roman"/>
          <w:b/>
        </w:rPr>
        <w:t>Шапца</w:t>
      </w:r>
      <w:proofErr w:type="spellEnd"/>
      <w:r w:rsidRPr="002D70B9">
        <w:rPr>
          <w:rFonts w:ascii="Times New Roman" w:hAnsi="Times New Roman" w:cs="Times New Roman"/>
          <w:b/>
        </w:rPr>
        <w:t xml:space="preserve">", </w:t>
      </w:r>
      <w:proofErr w:type="spellStart"/>
      <w:r w:rsidRPr="002D70B9">
        <w:rPr>
          <w:rFonts w:ascii="Times New Roman" w:hAnsi="Times New Roman" w:cs="Times New Roman"/>
          <w:b/>
        </w:rPr>
        <w:t>бр</w:t>
      </w:r>
      <w:proofErr w:type="spellEnd"/>
      <w:r w:rsidRPr="002D70B9">
        <w:rPr>
          <w:rFonts w:ascii="Times New Roman" w:hAnsi="Times New Roman" w:cs="Times New Roman"/>
          <w:b/>
        </w:rPr>
        <w:t xml:space="preserve">. 27/2018 </w:t>
      </w:r>
      <w:proofErr w:type="spellStart"/>
      <w:r w:rsidRPr="002D70B9">
        <w:rPr>
          <w:rFonts w:ascii="Times New Roman" w:hAnsi="Times New Roman" w:cs="Times New Roman"/>
          <w:b/>
        </w:rPr>
        <w:t>од</w:t>
      </w:r>
      <w:proofErr w:type="spellEnd"/>
      <w:r w:rsidRPr="002D70B9">
        <w:rPr>
          <w:rFonts w:ascii="Times New Roman" w:hAnsi="Times New Roman" w:cs="Times New Roman"/>
          <w:b/>
        </w:rPr>
        <w:t xml:space="preserve"> 30.11.2018.</w:t>
      </w:r>
    </w:p>
    <w:p w14:paraId="4DA70B12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1), 6) и 8)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31/12, 10/13, 17/13 и 25/13),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1C609E43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Одбацује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обуставу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41A43952" w14:textId="77777777" w:rsidR="009158B7" w:rsidRPr="009158B7" w:rsidRDefault="009158B7" w:rsidP="009158B7">
      <w:pPr>
        <w:pStyle w:val="rasir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</w:p>
    <w:p w14:paraId="5437D57B" w14:textId="77777777" w:rsidR="009158B7" w:rsidRPr="009158B7" w:rsidRDefault="009158B7" w:rsidP="009158B7">
      <w:pPr>
        <w:pStyle w:val="6naslov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I</w:t>
      </w:r>
    </w:p>
    <w:p w14:paraId="7D05AF97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изреке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E2E20E0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наводима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1), 6) и 8)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супротности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уводити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"), а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2, 3, 14. и 15.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спадају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томбола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покер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апарати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аутомати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Иницијатор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r w:rsidRPr="009158B7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прекорачила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законска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томболе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покер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аутомата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незаконитим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несагласним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195.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Иницијатор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приређивач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постављени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месечну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платио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двоструку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"у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идентичној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чињеничној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IУл-200/2008,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Прибој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администрације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434-3/9/2016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2AB0164E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идентичног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6) и 8)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несагласне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195.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Иницијатори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наводе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дефинисао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покер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апарати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аутомати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спадају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racio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legis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наметне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приређивачима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обавежу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угоститељском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делатношћу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истичу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покушава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наметнути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приређивачима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двоструког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измирују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Шабац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појмом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аутоматима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Иницијативама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обустава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40547B83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одговору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снази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неосновани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несагласне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04132DE1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Иако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иницијативама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формално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тражена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иницијативaма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њене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иницијатори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уставноправне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оспоравања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изнели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постојању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несагласности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последично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195.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ED3C9AE" w14:textId="77777777" w:rsidR="009158B7" w:rsidRPr="009158B7" w:rsidRDefault="009158B7" w:rsidP="009158B7">
      <w:pPr>
        <w:pStyle w:val="6naslov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II</w:t>
      </w:r>
    </w:p>
    <w:p w14:paraId="4DED1A36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31/12, 10/13, 17/13 и 25/13)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21.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62/06, 47/11 и 93/12)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32. и 99.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32/08).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измењена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допуњена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33/16, 5/17 и 9/17.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мењале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1C136927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31/12, 10/13, 17/13 и 25/13)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уводе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").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1), 6) и 8)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томболу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- 24.000,00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покер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апарате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- 50.000,00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аутомате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- 50.000,00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2FB5C759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3) и 13)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129/07, 83/14 -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101/16 -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BAD746D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62/06, 47/11, 93/12, 83/16 и 104/16 -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изворни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3));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1.);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уводити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1.);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настаје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1. и 2.);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уводити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")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10));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олакшице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18.).</w:t>
      </w:r>
    </w:p>
    <w:p w14:paraId="7858644B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54/09, 73/10, 101/10, 101/11, 93/12, 62/13, 63/13, 108/13, 142/14, 68/15, 103/15 и 99/16)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уводити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њихова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њихову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720C8442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88/11, 93/12 -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30/18)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приређивача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припадност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остварених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приређивањем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приређивањем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деле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класичне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наградне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роби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класичне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томбола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бинго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сличне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томболу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1), 2) и 3)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приређују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играчницама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казинима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играчи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играчнице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другога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столовима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приређују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аутоматима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клађења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добитка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квоте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утврђени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рачунарима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симулаторима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видео-аутоматима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флиперима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сличним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направама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стављају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погон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жетона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пикадо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билијар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сличне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добитак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новцу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бесплатних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уређивања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2.).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приређују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Црвеног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крста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социјално-економског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лечења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ретких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53AD149" w14:textId="77777777" w:rsidR="009158B7" w:rsidRPr="009158B7" w:rsidRDefault="009158B7" w:rsidP="009158B7">
      <w:pPr>
        <w:pStyle w:val="6naslov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III</w:t>
      </w:r>
    </w:p>
    <w:p w14:paraId="1C7BBA5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произлази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уводити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уводити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обвезници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олакшице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пропише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тзв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појма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јасну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односити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1A910E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1), 6) и 8)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томболе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покер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аутомата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томбола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приређују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аутоматима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(4)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забавне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класичне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прекорачила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проширила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5DFAFBBC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1), 6) и 8)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31/12, 10/13, 17/13 и 25/13),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00983883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заузети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спорном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уставноправном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изразио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IУл-73/2008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lastRenderedPageBreak/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37/09) и IУл-200/2008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63/09), 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пружили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поуздан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109/07, 99/11, 18/13 -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УС, 40/15 -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103/15),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изреке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ABCAB91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правној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коначну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иницијатора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предузетих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оспорених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одбацио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56.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изреке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630EB96F" w14:textId="77777777" w:rsidR="009158B7" w:rsidRPr="009158B7" w:rsidRDefault="009158B7" w:rsidP="009158B7">
      <w:pPr>
        <w:pStyle w:val="6naslov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IV</w:t>
      </w:r>
    </w:p>
    <w:p w14:paraId="46ECC1DF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изложеног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42а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4)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46.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89.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103/13),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изреци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.</w:t>
      </w:r>
    </w:p>
    <w:p w14:paraId="03D66D1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168.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. 1), 6) и 8)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изреке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престају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важе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".</w:t>
      </w:r>
    </w:p>
    <w:p w14:paraId="5423E678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IУо-213/2016</w:t>
      </w:r>
    </w:p>
    <w:p w14:paraId="004D5EA4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>,</w:t>
      </w:r>
    </w:p>
    <w:p w14:paraId="33347346" w14:textId="77777777" w:rsidR="009158B7" w:rsidRPr="009158B7" w:rsidRDefault="009158B7" w:rsidP="009158B7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Весна</w:t>
      </w:r>
      <w:proofErr w:type="spellEnd"/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Илић</w:t>
      </w:r>
      <w:proofErr w:type="spellEnd"/>
      <w:r w:rsidRPr="009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8B7">
        <w:rPr>
          <w:rFonts w:ascii="Times New Roman" w:hAnsi="Times New Roman" w:cs="Times New Roman"/>
          <w:b/>
          <w:bCs/>
          <w:sz w:val="24"/>
          <w:szCs w:val="24"/>
        </w:rPr>
        <w:t>Прелић</w:t>
      </w:r>
      <w:proofErr w:type="spellEnd"/>
      <w:r w:rsidRPr="0091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B7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9158B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E371906" w14:textId="77777777" w:rsidR="009158B7" w:rsidRPr="009158B7" w:rsidRDefault="009158B7" w:rsidP="009158B7">
      <w:pPr>
        <w:pStyle w:val="1tekst"/>
        <w:jc w:val="lef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22C7E62E" w14:textId="77777777" w:rsidR="009158B7" w:rsidRPr="009158B7" w:rsidRDefault="009158B7" w:rsidP="009158B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58B7">
        <w:rPr>
          <w:rFonts w:ascii="Times New Roman" w:hAnsi="Times New Roman" w:cs="Times New Roman"/>
          <w:sz w:val="24"/>
          <w:szCs w:val="24"/>
        </w:rPr>
        <w:t> </w:t>
      </w:r>
    </w:p>
    <w:p w14:paraId="69D634DF" w14:textId="77777777" w:rsidR="005A5A54" w:rsidRPr="009158B7" w:rsidRDefault="005A5A54">
      <w:pPr>
        <w:rPr>
          <w:rFonts w:ascii="Times New Roman" w:hAnsi="Times New Roman" w:cs="Times New Roman"/>
          <w:sz w:val="24"/>
          <w:szCs w:val="24"/>
        </w:rPr>
      </w:pPr>
    </w:p>
    <w:p w14:paraId="59B737C3" w14:textId="77777777" w:rsidR="002D70B9" w:rsidRPr="002D70B9" w:rsidRDefault="002D70B9" w:rsidP="002D70B9">
      <w:pPr>
        <w:shd w:val="clear" w:color="auto" w:fill="F5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>Члан</w:t>
      </w:r>
      <w:proofErr w:type="spellEnd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 xml:space="preserve"> 10. </w:t>
      </w:r>
      <w:proofErr w:type="spellStart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>Одлуке</w:t>
      </w:r>
      <w:proofErr w:type="spellEnd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>локалним</w:t>
      </w:r>
      <w:proofErr w:type="spellEnd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>накнадама</w:t>
      </w:r>
      <w:proofErr w:type="spellEnd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>коришћење</w:t>
      </w:r>
      <w:proofErr w:type="spellEnd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>јавних</w:t>
      </w:r>
      <w:proofErr w:type="spellEnd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b/>
          <w:sz w:val="28"/>
          <w:szCs w:val="28"/>
        </w:rPr>
        <w:t>површина</w:t>
      </w:r>
      <w:proofErr w:type="spellEnd"/>
    </w:p>
    <w:p w14:paraId="64E30B21" w14:textId="77777777" w:rsidR="002D70B9" w:rsidRPr="002D70B9" w:rsidRDefault="002D70B9" w:rsidP="002D70B9">
      <w:pPr>
        <w:shd w:val="clear" w:color="auto" w:fill="F5FEFD"/>
        <w:spacing w:before="100" w:beforeAutospacing="1" w:after="100" w:afterAutospacing="1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објављена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"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листу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Шапца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2/2020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13.2.2020.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ступила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21.2.2020.</w:t>
      </w:r>
    </w:p>
    <w:p w14:paraId="752EE247" w14:textId="77777777" w:rsidR="002D70B9" w:rsidRPr="002D70B9" w:rsidRDefault="002D70B9" w:rsidP="002D70B9">
      <w:pPr>
        <w:shd w:val="clear" w:color="auto" w:fill="F5FEFD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D7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 w:rsidRPr="002D7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10.</w:t>
      </w:r>
    </w:p>
    <w:p w14:paraId="22ABB036" w14:textId="77777777" w:rsidR="002D70B9" w:rsidRPr="002D70B9" w:rsidRDefault="002D70B9" w:rsidP="002D70B9">
      <w:pPr>
        <w:shd w:val="clear" w:color="auto" w:fill="F5FEFD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Ступањем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престају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тарифни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1.-5. и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тарифни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Шапца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Богатић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Владимирци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Коцељева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31/2012, 10/2013, 17/2013, 25/2013, 1/2014 - </w:t>
      </w:r>
      <w:proofErr w:type="spellStart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., 33/2016, 5/2017, 9/2017, 21/2017 и 94/18).</w:t>
      </w:r>
    </w:p>
    <w:p w14:paraId="2F93C92E" w14:textId="77777777" w:rsidR="002D70B9" w:rsidRPr="002D70B9" w:rsidRDefault="002D70B9" w:rsidP="002D70B9">
      <w:pPr>
        <w:shd w:val="clear" w:color="auto" w:fill="F5FEFD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D70B9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14:paraId="5399C114" w14:textId="77777777" w:rsidR="009158B7" w:rsidRPr="009158B7" w:rsidRDefault="009158B7">
      <w:pPr>
        <w:rPr>
          <w:rFonts w:ascii="Times New Roman" w:hAnsi="Times New Roman" w:cs="Times New Roman"/>
          <w:sz w:val="24"/>
          <w:szCs w:val="24"/>
        </w:rPr>
      </w:pPr>
    </w:p>
    <w:sectPr w:rsidR="009158B7" w:rsidRPr="009158B7" w:rsidSect="005A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B7"/>
    <w:rsid w:val="0000750C"/>
    <w:rsid w:val="002D70B9"/>
    <w:rsid w:val="0059274F"/>
    <w:rsid w:val="005A5A54"/>
    <w:rsid w:val="009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8930"/>
  <w15:docId w15:val="{AFDF2D1A-65A3-4892-8903-976B302C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8B7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8B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915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9158B7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uiPriority w:val="99"/>
    <w:rsid w:val="009158B7"/>
    <w:pPr>
      <w:spacing w:before="100" w:beforeAutospacing="1" w:after="100" w:afterAutospacing="1" w:line="240" w:lineRule="auto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uiPriority w:val="99"/>
    <w:rsid w:val="009158B7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uiPriority w:val="99"/>
    <w:rsid w:val="009158B7"/>
    <w:pPr>
      <w:spacing w:before="100" w:beforeAutospacing="1" w:after="100" w:afterAutospacing="1" w:line="240" w:lineRule="auto"/>
      <w:jc w:val="right"/>
    </w:pPr>
    <w:rPr>
      <w:rFonts w:ascii="Tahoma" w:hAnsi="Tahoma" w:cs="Tahoma"/>
      <w:b/>
      <w:bCs/>
      <w:sz w:val="24"/>
      <w:szCs w:val="24"/>
    </w:rPr>
  </w:style>
  <w:style w:type="paragraph" w:customStyle="1" w:styleId="izmene">
    <w:name w:val="izmene"/>
    <w:basedOn w:val="Normal"/>
    <w:uiPriority w:val="99"/>
    <w:rsid w:val="009158B7"/>
    <w:pPr>
      <w:shd w:val="clear" w:color="auto" w:fill="FFCCCC"/>
      <w:spacing w:before="100" w:beforeAutospacing="1" w:after="100" w:afterAutospacing="1" w:line="240" w:lineRule="auto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uiPriority w:val="99"/>
    <w:rsid w:val="009158B7"/>
    <w:pPr>
      <w:shd w:val="clear" w:color="auto" w:fill="FFCCCC"/>
      <w:spacing w:before="100" w:beforeAutospacing="1" w:after="100" w:afterAutospacing="1" w:line="240" w:lineRule="auto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rsid w:val="009158B7"/>
    <w:pPr>
      <w:spacing w:before="100" w:beforeAutospacing="1" w:after="100" w:afterAutospacing="1" w:line="240" w:lineRule="auto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uiPriority w:val="99"/>
    <w:rsid w:val="009158B7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uiPriority w:val="99"/>
    <w:rsid w:val="009158B7"/>
    <w:pPr>
      <w:spacing w:before="240" w:after="0" w:line="240" w:lineRule="auto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uiPriority w:val="99"/>
    <w:rsid w:val="009158B7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uiPriority w:val="99"/>
    <w:rsid w:val="009158B7"/>
    <w:pPr>
      <w:spacing w:before="240" w:after="240" w:line="240" w:lineRule="auto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uiPriority w:val="99"/>
    <w:rsid w:val="009158B7"/>
    <w:pPr>
      <w:spacing w:before="240" w:after="240" w:line="240" w:lineRule="auto"/>
      <w:jc w:val="center"/>
    </w:pPr>
    <w:rPr>
      <w:rFonts w:ascii="Tahoma" w:hAnsi="Tahoma" w:cs="Tahoma"/>
      <w:sz w:val="24"/>
      <w:szCs w:val="24"/>
    </w:rPr>
  </w:style>
  <w:style w:type="paragraph" w:customStyle="1" w:styleId="3mesto">
    <w:name w:val="_3mesto"/>
    <w:basedOn w:val="Normal"/>
    <w:rsid w:val="009158B7"/>
    <w:pPr>
      <w:spacing w:before="100" w:beforeAutospacing="1" w:after="100" w:afterAutospacing="1" w:line="240" w:lineRule="auto"/>
      <w:ind w:left="375" w:right="375"/>
      <w:jc w:val="center"/>
    </w:pPr>
    <w:rPr>
      <w:rFonts w:ascii="Tahoma" w:hAnsi="Tahoma" w:cs="Tahoma"/>
      <w:sz w:val="24"/>
      <w:szCs w:val="24"/>
    </w:rPr>
  </w:style>
  <w:style w:type="paragraph" w:customStyle="1" w:styleId="4clan">
    <w:name w:val="_4clan"/>
    <w:basedOn w:val="Normal"/>
    <w:rsid w:val="009158B7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customStyle="1" w:styleId="medjclan">
    <w:name w:val="medjclan"/>
    <w:basedOn w:val="Normal"/>
    <w:uiPriority w:val="99"/>
    <w:rsid w:val="009158B7"/>
    <w:pPr>
      <w:spacing w:before="240" w:after="240" w:line="240" w:lineRule="auto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uiPriority w:val="99"/>
    <w:rsid w:val="009158B7"/>
    <w:pPr>
      <w:spacing w:after="0" w:line="240" w:lineRule="auto"/>
      <w:ind w:left="525" w:right="525" w:firstLine="240"/>
      <w:jc w:val="both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uiPriority w:val="99"/>
    <w:rsid w:val="009158B7"/>
    <w:pPr>
      <w:spacing w:before="240" w:after="240" w:line="240" w:lineRule="auto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uiPriority w:val="99"/>
    <w:rsid w:val="009158B7"/>
    <w:pPr>
      <w:spacing w:before="240" w:after="240" w:line="240" w:lineRule="auto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uiPriority w:val="99"/>
    <w:rsid w:val="009158B7"/>
    <w:pPr>
      <w:spacing w:after="0" w:line="240" w:lineRule="auto"/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uiPriority w:val="99"/>
    <w:rsid w:val="009158B7"/>
    <w:pPr>
      <w:spacing w:after="0" w:line="240" w:lineRule="auto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uiPriority w:val="99"/>
    <w:rsid w:val="009158B7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linkovi">
    <w:name w:val="vlinkovi"/>
    <w:basedOn w:val="Normal"/>
    <w:uiPriority w:val="99"/>
    <w:rsid w:val="009158B7"/>
    <w:pPr>
      <w:spacing w:after="0" w:line="240" w:lineRule="auto"/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uiPriority w:val="99"/>
    <w:rsid w:val="009158B7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vlnowrap">
    <w:name w:val="vlnowrap"/>
    <w:basedOn w:val="Normal"/>
    <w:uiPriority w:val="99"/>
    <w:rsid w:val="009158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80"/>
      <w:sz w:val="24"/>
      <w:szCs w:val="24"/>
    </w:rPr>
  </w:style>
  <w:style w:type="paragraph" w:customStyle="1" w:styleId="vlf">
    <w:name w:val="vlf"/>
    <w:basedOn w:val="Normal"/>
    <w:uiPriority w:val="99"/>
    <w:rsid w:val="009158B7"/>
    <w:pPr>
      <w:shd w:val="clear" w:color="auto" w:fill="FFFFFF"/>
      <w:spacing w:before="75" w:after="0" w:line="240" w:lineRule="auto"/>
      <w:ind w:right="225"/>
    </w:pPr>
    <w:rPr>
      <w:rFonts w:ascii="Times New Roman" w:hAnsi="Times New Roman" w:cs="Times New Roman"/>
      <w:b/>
      <w:bCs/>
      <w:color w:val="8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9133</Words>
  <Characters>52063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KORISNIK</cp:lastModifiedBy>
  <cp:revision>2</cp:revision>
  <dcterms:created xsi:type="dcterms:W3CDTF">2021-05-18T11:32:00Z</dcterms:created>
  <dcterms:modified xsi:type="dcterms:W3CDTF">2021-05-18T11:32:00Z</dcterms:modified>
</cp:coreProperties>
</file>